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04BF" w14:textId="086690F2" w:rsidR="00CE613A" w:rsidRPr="00CE613A" w:rsidRDefault="00CE613A" w:rsidP="14C782BD">
      <w:pPr>
        <w:rPr>
          <w:b/>
          <w:bCs/>
          <w:sz w:val="25"/>
          <w:szCs w:val="25"/>
          <w:lang w:val="fr-FR"/>
        </w:rPr>
      </w:pPr>
      <w:r w:rsidRPr="00CE613A">
        <w:rPr>
          <w:b/>
          <w:bCs/>
          <w:sz w:val="25"/>
          <w:szCs w:val="25"/>
          <w:lang w:val="fr-FR"/>
        </w:rPr>
        <w:t>Résultats du que</w:t>
      </w:r>
      <w:r>
        <w:rPr>
          <w:b/>
          <w:bCs/>
          <w:sz w:val="25"/>
          <w:szCs w:val="25"/>
          <w:lang w:val="fr-FR"/>
        </w:rPr>
        <w:t>stionnaire associé avec le webinaire sur « Réponses et adaptation du cacao à un climat changeant et variable » organisé le 23 octobre 2024 par l’Université de Reading</w:t>
      </w:r>
    </w:p>
    <w:p w14:paraId="4E8E50DC" w14:textId="657DA4AB" w:rsidR="00053545" w:rsidRPr="00F44DD2" w:rsidRDefault="00053545" w:rsidP="14C782BD">
      <w:pPr>
        <w:rPr>
          <w:sz w:val="24"/>
          <w:szCs w:val="24"/>
          <w:u w:val="single"/>
          <w:lang w:val="fr-FR"/>
        </w:rPr>
      </w:pPr>
      <w:r w:rsidRPr="00F44DD2">
        <w:rPr>
          <w:sz w:val="24"/>
          <w:szCs w:val="24"/>
          <w:u w:val="single"/>
          <w:lang w:val="fr-FR"/>
        </w:rPr>
        <w:t xml:space="preserve">Introduction &amp; </w:t>
      </w:r>
      <w:r w:rsidR="000A5537">
        <w:rPr>
          <w:sz w:val="24"/>
          <w:szCs w:val="24"/>
          <w:u w:val="single"/>
          <w:lang w:val="fr-FR"/>
        </w:rPr>
        <w:t>c</w:t>
      </w:r>
      <w:r w:rsidRPr="00F44DD2">
        <w:rPr>
          <w:sz w:val="24"/>
          <w:szCs w:val="24"/>
          <w:u w:val="single"/>
          <w:lang w:val="fr-FR"/>
        </w:rPr>
        <w:t>ontexte des part</w:t>
      </w:r>
      <w:r w:rsidR="008C2B41" w:rsidRPr="00F44DD2">
        <w:rPr>
          <w:sz w:val="24"/>
          <w:szCs w:val="24"/>
          <w:u w:val="single"/>
          <w:lang w:val="fr-FR"/>
        </w:rPr>
        <w:t>icipants</w:t>
      </w:r>
    </w:p>
    <w:p w14:paraId="7C421008" w14:textId="56312421" w:rsidR="008C2B41" w:rsidRPr="00BE1D50" w:rsidRDefault="00BE1D50" w:rsidP="005D0448">
      <w:pPr>
        <w:jc w:val="both"/>
        <w:rPr>
          <w:lang w:val="fr-FR"/>
        </w:rPr>
      </w:pPr>
      <w:r w:rsidRPr="00BE1D50">
        <w:rPr>
          <w:lang w:val="fr-FR"/>
        </w:rPr>
        <w:t>Le questionnaire a été m</w:t>
      </w:r>
      <w:r>
        <w:rPr>
          <w:lang w:val="fr-FR"/>
        </w:rPr>
        <w:t>is à la disposition des participants au webinaire sur inscription et pendant le webinaire. En tout, 61 participants on</w:t>
      </w:r>
      <w:r w:rsidR="0025706C">
        <w:rPr>
          <w:lang w:val="fr-FR"/>
        </w:rPr>
        <w:t>t répondu au questionnaire (bien que le numé</w:t>
      </w:r>
      <w:r w:rsidR="002623E4">
        <w:rPr>
          <w:lang w:val="fr-FR"/>
        </w:rPr>
        <w:t xml:space="preserve">ro de réponse pour chaque question fût varié). Environ la moitié des </w:t>
      </w:r>
      <w:r w:rsidR="00EE1325">
        <w:rPr>
          <w:lang w:val="fr-FR"/>
        </w:rPr>
        <w:t>répondants travaillaient dans des rôles académiques / de recherch</w:t>
      </w:r>
      <w:r w:rsidR="00B5448E">
        <w:rPr>
          <w:lang w:val="fr-FR"/>
        </w:rPr>
        <w:t xml:space="preserve">e, tandis que juste en dessous d’un tiers travaillaient dans l’industrie du cacao et du chocolat. </w:t>
      </w:r>
      <w:r w:rsidR="00CC457B">
        <w:rPr>
          <w:lang w:val="fr-FR"/>
        </w:rPr>
        <w:t>Parmi les autres groupes représentés en nombre beaucoup plus faible, on comptait des agriculteurs</w:t>
      </w:r>
      <w:r w:rsidR="005E0E5C">
        <w:rPr>
          <w:lang w:val="fr-FR"/>
        </w:rPr>
        <w:t xml:space="preserve"> </w:t>
      </w:r>
      <w:r w:rsidR="00F2783B">
        <w:rPr>
          <w:lang w:val="fr-FR"/>
        </w:rPr>
        <w:t>/</w:t>
      </w:r>
      <w:r w:rsidR="005E0E5C">
        <w:rPr>
          <w:lang w:val="fr-FR"/>
        </w:rPr>
        <w:t xml:space="preserve"> </w:t>
      </w:r>
      <w:r w:rsidR="00F2783B">
        <w:rPr>
          <w:lang w:val="fr-FR"/>
        </w:rPr>
        <w:t>organisations d’agriculteurs, des agences gouvernementales, des commerçants et une ONG (</w:t>
      </w:r>
      <w:r w:rsidR="002250D3">
        <w:rPr>
          <w:lang w:val="fr-FR"/>
        </w:rPr>
        <w:t>Figure 1). La</w:t>
      </w:r>
      <w:r w:rsidR="004D7574">
        <w:rPr>
          <w:lang w:val="fr-FR"/>
        </w:rPr>
        <w:t xml:space="preserve"> distribution géographique des participants était globale, avec l’Afrique de l’Ouest, l’Amérique du Sud et l’Europe</w:t>
      </w:r>
      <w:r w:rsidR="00F44DD2">
        <w:rPr>
          <w:lang w:val="fr-FR"/>
        </w:rPr>
        <w:t xml:space="preserve"> particulièrement bien représentées (Figure 2).</w:t>
      </w:r>
    </w:p>
    <w:p w14:paraId="6FDA98A4" w14:textId="77777777" w:rsidR="00BD24B6" w:rsidRPr="00BE1D50" w:rsidRDefault="00BD24B6">
      <w:pPr>
        <w:rPr>
          <w:lang w:val="fr-FR"/>
        </w:rPr>
      </w:pPr>
    </w:p>
    <w:p w14:paraId="24AC2136" w14:textId="305C589E" w:rsidR="00BD24B6" w:rsidRPr="00942456" w:rsidRDefault="00BD24B6" w:rsidP="14C782BD">
      <w:pPr>
        <w:rPr>
          <w:i/>
          <w:iCs/>
          <w:lang w:val="fr-FR"/>
        </w:rPr>
      </w:pPr>
      <w:r>
        <w:rPr>
          <w:noProof/>
        </w:rPr>
        <w:drawing>
          <wp:inline distT="0" distB="0" distL="0" distR="0" wp14:anchorId="2F296DDF" wp14:editId="56ED6645">
            <wp:extent cx="5731510" cy="1794030"/>
            <wp:effectExtent l="0" t="0" r="2540" b="0"/>
            <wp:docPr id="573577854" name="Picture 1" descr="A graph with colorful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77854" name="Picture 1" descr="A graph with colorful bars&#10;&#10;Description automatically generated with medium confidence"/>
                    <pic:cNvPicPr/>
                  </pic:nvPicPr>
                  <pic:blipFill rotWithShape="1">
                    <a:blip r:embed="rId6"/>
                    <a:srcRect t="17221"/>
                    <a:stretch/>
                  </pic:blipFill>
                  <pic:spPr bwMode="auto">
                    <a:xfrm>
                      <a:off x="0" y="0"/>
                      <a:ext cx="5731510" cy="17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2456">
        <w:rPr>
          <w:i/>
          <w:iCs/>
          <w:lang w:val="fr-FR"/>
        </w:rPr>
        <w:t>Figure 1</w:t>
      </w:r>
      <w:r w:rsidR="1E9402AB" w:rsidRPr="00942456">
        <w:rPr>
          <w:i/>
          <w:iCs/>
          <w:lang w:val="fr-FR"/>
        </w:rPr>
        <w:t xml:space="preserve">: </w:t>
      </w:r>
      <w:r w:rsidR="00A84FFC" w:rsidRPr="00942456">
        <w:rPr>
          <w:i/>
          <w:iCs/>
          <w:lang w:val="fr-FR"/>
        </w:rPr>
        <w:t>Résumé de</w:t>
      </w:r>
      <w:r w:rsidR="00F679C0" w:rsidRPr="00942456">
        <w:rPr>
          <w:i/>
          <w:iCs/>
          <w:lang w:val="fr-FR"/>
        </w:rPr>
        <w:t xml:space="preserve">s </w:t>
      </w:r>
      <w:r w:rsidR="00942456" w:rsidRPr="00942456">
        <w:rPr>
          <w:i/>
          <w:iCs/>
          <w:lang w:val="fr-FR"/>
        </w:rPr>
        <w:t>activités</w:t>
      </w:r>
      <w:r w:rsidR="00F679C0" w:rsidRPr="00942456">
        <w:rPr>
          <w:i/>
          <w:iCs/>
          <w:lang w:val="fr-FR"/>
        </w:rPr>
        <w:t xml:space="preserve"> des participants au webinaire</w:t>
      </w:r>
    </w:p>
    <w:p w14:paraId="6D400AAB" w14:textId="1CD72622" w:rsidR="00BD24B6" w:rsidRPr="00DC6C49" w:rsidRDefault="00C95B42" w:rsidP="14C782BD">
      <w:r>
        <w:rPr>
          <w:noProof/>
        </w:rPr>
        <w:drawing>
          <wp:inline distT="0" distB="0" distL="0" distR="0" wp14:anchorId="04DEAF69" wp14:editId="31260933">
            <wp:extent cx="4098005" cy="2306527"/>
            <wp:effectExtent l="0" t="0" r="0" b="0"/>
            <wp:docPr id="3189511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B8E65CB-E970-5790-1AF8-4BFF46035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D1A877" w14:textId="169A166E" w:rsidR="00A53768" w:rsidRPr="00F44DD2" w:rsidRDefault="00A53768" w:rsidP="14C782BD">
      <w:pPr>
        <w:rPr>
          <w:i/>
          <w:iCs/>
          <w:lang w:val="fr-FR"/>
        </w:rPr>
      </w:pPr>
      <w:r w:rsidRPr="00F44DD2">
        <w:rPr>
          <w:i/>
          <w:iCs/>
          <w:lang w:val="fr-FR"/>
        </w:rPr>
        <w:t xml:space="preserve">Figure </w:t>
      </w:r>
      <w:r w:rsidR="00A84FFC" w:rsidRPr="00F44DD2">
        <w:rPr>
          <w:i/>
          <w:iCs/>
          <w:lang w:val="fr-FR"/>
        </w:rPr>
        <w:t>2 :</w:t>
      </w:r>
      <w:r w:rsidRPr="00F44DD2">
        <w:rPr>
          <w:i/>
          <w:iCs/>
          <w:lang w:val="fr-FR"/>
        </w:rPr>
        <w:t xml:space="preserve"> </w:t>
      </w:r>
      <w:r w:rsidR="00F44DD2" w:rsidRPr="00F44DD2">
        <w:rPr>
          <w:i/>
          <w:iCs/>
          <w:lang w:val="fr-FR"/>
        </w:rPr>
        <w:t>Distribution géographique des participants</w:t>
      </w:r>
      <w:r w:rsidR="00F44DD2">
        <w:rPr>
          <w:i/>
          <w:iCs/>
          <w:lang w:val="fr-FR"/>
        </w:rPr>
        <w:t xml:space="preserve"> au webinaire</w:t>
      </w:r>
    </w:p>
    <w:p w14:paraId="48B2DAC4" w14:textId="0CF0FBDD" w:rsidR="00F44DD2" w:rsidRPr="00F44DD2" w:rsidRDefault="00F44DD2" w:rsidP="14C782BD">
      <w:pPr>
        <w:rPr>
          <w:sz w:val="24"/>
          <w:szCs w:val="24"/>
          <w:u w:val="single"/>
          <w:lang w:val="fr-FR"/>
        </w:rPr>
      </w:pPr>
      <w:r w:rsidRPr="00F44DD2">
        <w:rPr>
          <w:sz w:val="24"/>
          <w:szCs w:val="24"/>
          <w:u w:val="single"/>
          <w:lang w:val="fr-FR"/>
        </w:rPr>
        <w:t>Perception des impacts du change</w:t>
      </w:r>
      <w:r>
        <w:rPr>
          <w:sz w:val="24"/>
          <w:szCs w:val="24"/>
          <w:u w:val="single"/>
          <w:lang w:val="fr-FR"/>
        </w:rPr>
        <w:t>ment climatique sur la production de cacao</w:t>
      </w:r>
    </w:p>
    <w:p w14:paraId="0179AA2F" w14:textId="765D0764" w:rsidR="00F44DD2" w:rsidRPr="005D3765" w:rsidRDefault="00642198" w:rsidP="00A53768">
      <w:pPr>
        <w:jc w:val="both"/>
        <w:rPr>
          <w:lang w:val="fr-FR"/>
        </w:rPr>
      </w:pPr>
      <w:r w:rsidRPr="0086109E">
        <w:rPr>
          <w:lang w:val="fr-FR"/>
        </w:rPr>
        <w:t xml:space="preserve">Beaucoup de participants </w:t>
      </w:r>
      <w:r w:rsidR="00C37D77" w:rsidRPr="0086109E">
        <w:rPr>
          <w:lang w:val="fr-FR"/>
        </w:rPr>
        <w:t>ont souligné qu’ils avaient déj</w:t>
      </w:r>
      <w:r w:rsidR="0086109E" w:rsidRPr="0086109E">
        <w:rPr>
          <w:lang w:val="fr-FR"/>
        </w:rPr>
        <w:t>à constat</w:t>
      </w:r>
      <w:r w:rsidR="0086109E">
        <w:rPr>
          <w:lang w:val="fr-FR"/>
        </w:rPr>
        <w:t xml:space="preserve">é </w:t>
      </w:r>
      <w:r w:rsidR="007D41D4">
        <w:rPr>
          <w:lang w:val="fr-FR"/>
        </w:rPr>
        <w:t>des changements climatiques</w:t>
      </w:r>
      <w:r w:rsidR="0086109E">
        <w:rPr>
          <w:lang w:val="fr-FR"/>
        </w:rPr>
        <w:t xml:space="preserve"> dans </w:t>
      </w:r>
      <w:r w:rsidR="007D41D4">
        <w:rPr>
          <w:lang w:val="fr-FR"/>
        </w:rPr>
        <w:t>les</w:t>
      </w:r>
      <w:r w:rsidR="0086109E">
        <w:rPr>
          <w:lang w:val="fr-FR"/>
        </w:rPr>
        <w:t xml:space="preserve"> </w:t>
      </w:r>
      <w:r w:rsidR="006A21E5">
        <w:rPr>
          <w:lang w:val="fr-FR"/>
        </w:rPr>
        <w:t xml:space="preserve">zones </w:t>
      </w:r>
      <w:r w:rsidR="00E01487">
        <w:rPr>
          <w:lang w:val="fr-FR"/>
        </w:rPr>
        <w:t>cacaoyères, y compris des hautes températures plus extrêmes</w:t>
      </w:r>
      <w:r w:rsidR="004D4B8B">
        <w:rPr>
          <w:lang w:val="fr-FR"/>
        </w:rPr>
        <w:t xml:space="preserve"> (et parfois de basses températures nocturnes), </w:t>
      </w:r>
      <w:r w:rsidR="0081492F">
        <w:rPr>
          <w:lang w:val="fr-FR"/>
        </w:rPr>
        <w:t>des précipitations plus extrêmes (</w:t>
      </w:r>
      <w:r w:rsidR="00FB326E">
        <w:rPr>
          <w:lang w:val="fr-FR"/>
        </w:rPr>
        <w:t xml:space="preserve">pluies abondantes et sécheresses plus intenses) et des </w:t>
      </w:r>
      <w:r w:rsidR="00C06308">
        <w:rPr>
          <w:lang w:val="fr-FR"/>
        </w:rPr>
        <w:t>modèles météorologiques moins prévisibles.</w:t>
      </w:r>
      <w:r w:rsidR="005D3765">
        <w:rPr>
          <w:lang w:val="fr-FR"/>
        </w:rPr>
        <w:t xml:space="preserve"> </w:t>
      </w:r>
      <w:r w:rsidR="005D3765" w:rsidRPr="005D3765">
        <w:rPr>
          <w:lang w:val="fr-FR"/>
        </w:rPr>
        <w:t>Des vents plus forts ont aussi été mentionnés par c</w:t>
      </w:r>
      <w:r w:rsidR="005D3765">
        <w:rPr>
          <w:lang w:val="fr-FR"/>
        </w:rPr>
        <w:t>ertains répondants.</w:t>
      </w:r>
    </w:p>
    <w:p w14:paraId="5161DDE0" w14:textId="401A5955" w:rsidR="00BD24B6" w:rsidRPr="0089022F" w:rsidRDefault="005D3765" w:rsidP="00A53768">
      <w:pPr>
        <w:jc w:val="both"/>
        <w:rPr>
          <w:lang w:val="fr-FR"/>
        </w:rPr>
      </w:pPr>
      <w:r w:rsidRPr="00233DD0">
        <w:rPr>
          <w:lang w:val="fr-FR"/>
        </w:rPr>
        <w:lastRenderedPageBreak/>
        <w:t>En termes d’impacts direct</w:t>
      </w:r>
      <w:r w:rsidR="00233DD0" w:rsidRPr="00233DD0">
        <w:rPr>
          <w:lang w:val="fr-FR"/>
        </w:rPr>
        <w:t>s sur le cacao, des rendements p</w:t>
      </w:r>
      <w:r w:rsidR="00233DD0">
        <w:rPr>
          <w:lang w:val="fr-FR"/>
        </w:rPr>
        <w:t xml:space="preserve">lus faibles et plus variables ont </w:t>
      </w:r>
      <w:r w:rsidR="001B14F3">
        <w:rPr>
          <w:lang w:val="fr-FR"/>
        </w:rPr>
        <w:t xml:space="preserve">été fréquemment identifiés comme un problème. </w:t>
      </w:r>
      <w:r w:rsidR="001B14F3" w:rsidRPr="00F05E12">
        <w:rPr>
          <w:lang w:val="fr-FR"/>
        </w:rPr>
        <w:t xml:space="preserve">D’autres impacts comprennent </w:t>
      </w:r>
      <w:r w:rsidR="00F05E12" w:rsidRPr="00F05E12">
        <w:rPr>
          <w:lang w:val="fr-FR"/>
        </w:rPr>
        <w:t>une baisse de la taille des c</w:t>
      </w:r>
      <w:r w:rsidR="00F05E12">
        <w:rPr>
          <w:lang w:val="fr-FR"/>
        </w:rPr>
        <w:t>abosses</w:t>
      </w:r>
      <w:r w:rsidR="00455FEE">
        <w:rPr>
          <w:lang w:val="fr-FR"/>
        </w:rPr>
        <w:t xml:space="preserve">, la coulure des fleurs et des fruits. </w:t>
      </w:r>
      <w:r w:rsidR="00B96704" w:rsidRPr="00B96704">
        <w:rPr>
          <w:lang w:val="fr-FR"/>
        </w:rPr>
        <w:t>Les pertes d’arbres, en particulier à la phase d’établissement d</w:t>
      </w:r>
      <w:r w:rsidR="00B96704">
        <w:rPr>
          <w:lang w:val="fr-FR"/>
        </w:rPr>
        <w:t>es semis, ont également été soulignés comme un problème particulier.</w:t>
      </w:r>
      <w:r w:rsidR="0089022F">
        <w:rPr>
          <w:lang w:val="fr-FR"/>
        </w:rPr>
        <w:t xml:space="preserve"> </w:t>
      </w:r>
      <w:r w:rsidR="00F0642E" w:rsidRPr="0089022F">
        <w:rPr>
          <w:lang w:val="fr-FR"/>
        </w:rPr>
        <w:t>Des impacts indirects</w:t>
      </w:r>
      <w:r w:rsidR="0089022F" w:rsidRPr="0089022F">
        <w:rPr>
          <w:lang w:val="fr-FR"/>
        </w:rPr>
        <w:t xml:space="preserve"> ont aussi été mentionnés, notamment à p</w:t>
      </w:r>
      <w:r w:rsidR="0089022F">
        <w:rPr>
          <w:lang w:val="fr-FR"/>
        </w:rPr>
        <w:t>ropos des nuisibles et des maladies.</w:t>
      </w:r>
    </w:p>
    <w:p w14:paraId="625065D3" w14:textId="5FC238AC" w:rsidR="00BD24B6" w:rsidRPr="00884879" w:rsidRDefault="00F0642E" w:rsidP="00A53768">
      <w:pPr>
        <w:jc w:val="both"/>
        <w:rPr>
          <w:lang w:val="fr-FR"/>
        </w:rPr>
      </w:pPr>
      <w:r w:rsidRPr="00884879">
        <w:rPr>
          <w:lang w:val="fr-FR"/>
        </w:rPr>
        <w:t>Certains répondants ont aussi mentionné</w:t>
      </w:r>
      <w:r w:rsidR="00884879" w:rsidRPr="00884879">
        <w:rPr>
          <w:lang w:val="fr-FR"/>
        </w:rPr>
        <w:t xml:space="preserve"> des impacts socio-économiques t</w:t>
      </w:r>
      <w:r w:rsidR="00884879">
        <w:rPr>
          <w:lang w:val="fr-FR"/>
        </w:rPr>
        <w:t>els que l’instabilité financière des agriculteurs et l</w:t>
      </w:r>
      <w:r w:rsidR="00FA6655">
        <w:rPr>
          <w:lang w:val="fr-FR"/>
        </w:rPr>
        <w:t xml:space="preserve">’incapacité conséquente à investir </w:t>
      </w:r>
      <w:r w:rsidR="00CF7A16">
        <w:rPr>
          <w:lang w:val="fr-FR"/>
        </w:rPr>
        <w:t>dans les intrants.</w:t>
      </w:r>
    </w:p>
    <w:p w14:paraId="10F91FD5" w14:textId="0E47D055" w:rsidR="00BA102F" w:rsidRPr="00BA102F" w:rsidRDefault="00BA102F" w:rsidP="14C782BD">
      <w:pPr>
        <w:rPr>
          <w:sz w:val="24"/>
          <w:szCs w:val="24"/>
          <w:u w:val="single"/>
          <w:lang w:val="fr-FR"/>
        </w:rPr>
      </w:pPr>
      <w:r w:rsidRPr="00BA102F">
        <w:rPr>
          <w:sz w:val="24"/>
          <w:szCs w:val="24"/>
          <w:u w:val="single"/>
          <w:lang w:val="fr-FR"/>
        </w:rPr>
        <w:t>Stratégies à adopter pour r</w:t>
      </w:r>
      <w:r>
        <w:rPr>
          <w:sz w:val="24"/>
          <w:szCs w:val="24"/>
          <w:u w:val="single"/>
          <w:lang w:val="fr-FR"/>
        </w:rPr>
        <w:t>éduire les impacts des températures élevées et/ ou</w:t>
      </w:r>
      <w:r w:rsidR="00593798">
        <w:rPr>
          <w:sz w:val="24"/>
          <w:szCs w:val="24"/>
          <w:u w:val="single"/>
          <w:lang w:val="fr-FR"/>
        </w:rPr>
        <w:t xml:space="preserve"> des sécheresses prolongées sur la production de cacao</w:t>
      </w:r>
    </w:p>
    <w:p w14:paraId="697C71A9" w14:textId="529A7B05" w:rsidR="00453DF4" w:rsidRDefault="00D92344" w:rsidP="005D0448">
      <w:pPr>
        <w:jc w:val="both"/>
        <w:rPr>
          <w:rFonts w:ascii="Segoe UI Symbol" w:hAnsi="Segoe UI Symbol" w:cs="Arial"/>
          <w:lang w:val="fr-FR" w:eastAsia="ja-JP"/>
        </w:rPr>
      </w:pPr>
      <w:r w:rsidRPr="0037109B">
        <w:rPr>
          <w:lang w:val="fr-FR"/>
        </w:rPr>
        <w:t xml:space="preserve">La </w:t>
      </w:r>
      <w:r w:rsidR="00A57F87" w:rsidRPr="0037109B">
        <w:rPr>
          <w:lang w:val="fr-FR"/>
        </w:rPr>
        <w:t>sélection de variétés de cacao</w:t>
      </w:r>
      <w:r w:rsidR="0037109B" w:rsidRPr="0037109B">
        <w:rPr>
          <w:lang w:val="fr-FR"/>
        </w:rPr>
        <w:t xml:space="preserve"> plus résistantes aux s</w:t>
      </w:r>
      <w:r w:rsidR="0037109B">
        <w:rPr>
          <w:lang w:val="fr-FR"/>
        </w:rPr>
        <w:t>tress tels que les températures élevées</w:t>
      </w:r>
      <w:r w:rsidR="001C2870">
        <w:rPr>
          <w:lang w:val="fr-FR"/>
        </w:rPr>
        <w:t xml:space="preserve"> et la sécheresse a été un</w:t>
      </w:r>
      <w:r w:rsidR="00AD5392">
        <w:rPr>
          <w:lang w:val="fr-FR"/>
        </w:rPr>
        <w:t>e stratégie fréquemment citée, mentionnée par pr</w:t>
      </w:r>
      <w:r w:rsidR="00113A42">
        <w:rPr>
          <w:lang w:val="fr-FR"/>
        </w:rPr>
        <w:t>ès de la moitié des ré</w:t>
      </w:r>
      <w:r w:rsidR="005B6414">
        <w:rPr>
          <w:lang w:val="fr-FR"/>
        </w:rPr>
        <w:t>pondants.</w:t>
      </w:r>
      <w:r w:rsidR="00BF7759">
        <w:rPr>
          <w:lang w:val="fr-FR"/>
        </w:rPr>
        <w:t xml:space="preserve"> </w:t>
      </w:r>
      <w:r w:rsidR="002F767C" w:rsidRPr="00E16D58">
        <w:rPr>
          <w:lang w:val="fr-FR"/>
        </w:rPr>
        <w:t>L’agroforesterie et la plantation de plus d’ombr</w:t>
      </w:r>
      <w:r w:rsidR="00897A6B">
        <w:rPr>
          <w:lang w:val="fr-FR"/>
        </w:rPr>
        <w:t>age</w:t>
      </w:r>
      <w:r w:rsidR="002F767C" w:rsidRPr="00E16D58">
        <w:rPr>
          <w:lang w:val="fr-FR"/>
        </w:rPr>
        <w:t xml:space="preserve"> ont été </w:t>
      </w:r>
      <w:r w:rsidR="00E16D58" w:rsidRPr="00E16D58">
        <w:rPr>
          <w:lang w:val="fr-FR"/>
        </w:rPr>
        <w:t>sug</w:t>
      </w:r>
      <w:r w:rsidR="00E16D58">
        <w:rPr>
          <w:lang w:val="fr-FR"/>
        </w:rPr>
        <w:t>gérées par un certain nombre de participant</w:t>
      </w:r>
      <w:r w:rsidR="00994F74">
        <w:rPr>
          <w:lang w:val="fr-FR"/>
        </w:rPr>
        <w:t>s comme moyen de p</w:t>
      </w:r>
      <w:r w:rsidR="00EF7379">
        <w:rPr>
          <w:lang w:val="fr-FR"/>
        </w:rPr>
        <w:t xml:space="preserve">rotéger les récoltes contre </w:t>
      </w:r>
      <w:r w:rsidR="001F77D7">
        <w:rPr>
          <w:lang w:val="fr-FR"/>
        </w:rPr>
        <w:t>des conditions météorologiques extrêmes</w:t>
      </w:r>
      <w:r w:rsidR="005361F7">
        <w:rPr>
          <w:lang w:val="fr-FR"/>
        </w:rPr>
        <w:t xml:space="preserve"> et de diversifier les revenus. </w:t>
      </w:r>
      <w:r w:rsidR="008256A5" w:rsidRPr="0080602D">
        <w:rPr>
          <w:lang w:val="fr-FR"/>
        </w:rPr>
        <w:t>Plusieurs participants ont aussi mentionné</w:t>
      </w:r>
      <w:r w:rsidR="0080602D" w:rsidRPr="0080602D">
        <w:rPr>
          <w:lang w:val="fr-FR"/>
        </w:rPr>
        <w:t xml:space="preserve"> </w:t>
      </w:r>
      <w:r w:rsidR="00061FAD" w:rsidRPr="0080602D">
        <w:rPr>
          <w:lang w:val="fr-FR"/>
        </w:rPr>
        <w:t>une meilleure gestion</w:t>
      </w:r>
      <w:r w:rsidR="0080602D" w:rsidRPr="0080602D">
        <w:rPr>
          <w:lang w:val="fr-FR"/>
        </w:rPr>
        <w:t xml:space="preserve"> de l</w:t>
      </w:r>
      <w:r w:rsidR="0080602D">
        <w:rPr>
          <w:lang w:val="fr-FR"/>
        </w:rPr>
        <w:t>’eau</w:t>
      </w:r>
      <w:r w:rsidR="001C58BA">
        <w:rPr>
          <w:lang w:val="fr-FR"/>
        </w:rPr>
        <w:t xml:space="preserve">, par exemple </w:t>
      </w:r>
      <w:r w:rsidR="000720AC">
        <w:rPr>
          <w:lang w:val="fr-FR"/>
        </w:rPr>
        <w:t xml:space="preserve">la collecte des eaux de pluie, l’irrigation et l’utilisation des </w:t>
      </w:r>
      <w:r w:rsidR="008A4D45">
        <w:rPr>
          <w:lang w:val="fr-FR"/>
        </w:rPr>
        <w:t>paillis.</w:t>
      </w:r>
      <w:r w:rsidR="00927395">
        <w:rPr>
          <w:lang w:val="fr-FR"/>
        </w:rPr>
        <w:t xml:space="preserve"> </w:t>
      </w:r>
      <w:r w:rsidR="00927395" w:rsidRPr="00061FAD">
        <w:rPr>
          <w:lang w:val="fr-FR"/>
        </w:rPr>
        <w:t>L’importance de la santé des sols</w:t>
      </w:r>
      <w:r w:rsidR="00061FAD" w:rsidRPr="00061FAD">
        <w:rPr>
          <w:lang w:val="fr-FR"/>
        </w:rPr>
        <w:t xml:space="preserve"> a été soulignée p</w:t>
      </w:r>
      <w:r w:rsidR="00061FAD">
        <w:rPr>
          <w:lang w:val="fr-FR"/>
        </w:rPr>
        <w:t xml:space="preserve">ar un certain nombre de répondants, par exemple, l’application de matière </w:t>
      </w:r>
      <w:r w:rsidR="004638CE">
        <w:rPr>
          <w:lang w:val="fr-FR"/>
        </w:rPr>
        <w:t>organique pour améliorer la capacité de rétention d’eau du sol et l’utilisation d’engrais sélectifs pour promouvoir la croissance des racines.</w:t>
      </w:r>
    </w:p>
    <w:p w14:paraId="4C8B0CC2" w14:textId="25EBFE03" w:rsidR="009A70CF" w:rsidRPr="00453DF4" w:rsidRDefault="004638CE" w:rsidP="005D0448">
      <w:pPr>
        <w:jc w:val="both"/>
        <w:rPr>
          <w:rFonts w:ascii="Segoe UI Symbol" w:hAnsi="Segoe UI Symbol" w:cs="Arial"/>
          <w:lang w:val="fr-FR" w:eastAsia="ja-JP"/>
        </w:rPr>
      </w:pPr>
      <w:r w:rsidRPr="000A5537">
        <w:rPr>
          <w:lang w:val="fr-FR"/>
        </w:rPr>
        <w:br/>
      </w:r>
      <w:r w:rsidRPr="00F839A1">
        <w:rPr>
          <w:lang w:val="fr-FR"/>
        </w:rPr>
        <w:t>Afin</w:t>
      </w:r>
      <w:r w:rsidR="00F839A1" w:rsidRPr="00F839A1">
        <w:rPr>
          <w:lang w:val="fr-FR"/>
        </w:rPr>
        <w:t xml:space="preserve"> que ces suggestions soient pratiquées, </w:t>
      </w:r>
      <w:r w:rsidR="00F839A1">
        <w:rPr>
          <w:lang w:val="fr-FR"/>
        </w:rPr>
        <w:t xml:space="preserve">plusieurs répondants ont souligné le besoin </w:t>
      </w:r>
      <w:r w:rsidR="00C53234">
        <w:rPr>
          <w:lang w:val="fr-FR"/>
        </w:rPr>
        <w:t xml:space="preserve">d’éduquer </w:t>
      </w:r>
      <w:r w:rsidR="00453DF4">
        <w:rPr>
          <w:lang w:val="fr-FR"/>
        </w:rPr>
        <w:t>e</w:t>
      </w:r>
      <w:r w:rsidR="00C53234">
        <w:rPr>
          <w:lang w:val="fr-FR"/>
        </w:rPr>
        <w:t>t</w:t>
      </w:r>
      <w:r w:rsidR="00453DF4">
        <w:rPr>
          <w:lang w:val="fr-FR"/>
        </w:rPr>
        <w:t xml:space="preserve"> de </w:t>
      </w:r>
      <w:r w:rsidR="00C53234">
        <w:rPr>
          <w:lang w:val="fr-FR"/>
        </w:rPr>
        <w:t xml:space="preserve">soutenir les agriculteurs, ainsi que l’importance de politiques </w:t>
      </w:r>
      <w:r w:rsidR="00453DF4">
        <w:rPr>
          <w:lang w:val="fr-FR"/>
        </w:rPr>
        <w:t>fortes (par exemple, contre la déforestation).</w:t>
      </w:r>
    </w:p>
    <w:p w14:paraId="0A4D9E30" w14:textId="7C03326A" w:rsidR="00126CCF" w:rsidRPr="00126CCF" w:rsidRDefault="00126CCF" w:rsidP="14C782BD">
      <w:pPr>
        <w:rPr>
          <w:sz w:val="24"/>
          <w:szCs w:val="24"/>
          <w:u w:val="single"/>
          <w:lang w:val="fr-FR"/>
        </w:rPr>
      </w:pPr>
      <w:r w:rsidRPr="00126CCF">
        <w:rPr>
          <w:sz w:val="24"/>
          <w:szCs w:val="24"/>
          <w:u w:val="single"/>
          <w:lang w:val="fr-FR"/>
        </w:rPr>
        <w:t>Perceptions des impacts de l</w:t>
      </w:r>
      <w:r>
        <w:rPr>
          <w:sz w:val="24"/>
          <w:szCs w:val="24"/>
          <w:u w:val="single"/>
          <w:lang w:val="fr-FR"/>
        </w:rPr>
        <w:t>’agroforesterie sur le microenvironnement</w:t>
      </w:r>
    </w:p>
    <w:p w14:paraId="7531A59C" w14:textId="2E8F1395" w:rsidR="00C33F00" w:rsidRPr="00DF4922" w:rsidRDefault="00417B45" w:rsidP="00733A60">
      <w:pPr>
        <w:jc w:val="both"/>
        <w:rPr>
          <w:lang w:val="fr-FR"/>
        </w:rPr>
      </w:pPr>
      <w:r w:rsidRPr="00DA06CD">
        <w:rPr>
          <w:lang w:val="fr-FR"/>
        </w:rPr>
        <w:t xml:space="preserve">La plupart des répondants </w:t>
      </w:r>
      <w:r w:rsidR="00DA06CD" w:rsidRPr="00DA06CD">
        <w:rPr>
          <w:lang w:val="fr-FR"/>
        </w:rPr>
        <w:t>étaient soit d’accord (62%), soit fortement d</w:t>
      </w:r>
      <w:r w:rsidR="00DA06CD">
        <w:rPr>
          <w:lang w:val="fr-FR"/>
        </w:rPr>
        <w:t>’accord (34%) avec l’affirmation selon laquelle</w:t>
      </w:r>
      <w:r w:rsidR="000E3D15">
        <w:rPr>
          <w:lang w:val="fr-FR"/>
        </w:rPr>
        <w:t> : « l’ombrage/l’agroforesterie peuvent atténuer les températures élevées »</w:t>
      </w:r>
      <w:r w:rsidR="003D2DE0">
        <w:rPr>
          <w:lang w:val="fr-FR"/>
        </w:rPr>
        <w:t xml:space="preserve">. </w:t>
      </w:r>
      <w:r w:rsidR="003D2DE0" w:rsidRPr="0052241A">
        <w:rPr>
          <w:lang w:val="fr-FR"/>
        </w:rPr>
        <w:t>Aucuns répondants</w:t>
      </w:r>
      <w:r w:rsidR="00AE3355" w:rsidRPr="0052241A">
        <w:rPr>
          <w:lang w:val="fr-FR"/>
        </w:rPr>
        <w:t xml:space="preserve"> n’étaient en désaccord avec l’affirmation (Figure 3). </w:t>
      </w:r>
      <w:r w:rsidR="0052241A" w:rsidRPr="00DF4922">
        <w:rPr>
          <w:lang w:val="fr-FR"/>
        </w:rPr>
        <w:t>Quant aux perceptions sur l’impact de l’agroforesterie</w:t>
      </w:r>
      <w:r w:rsidR="00DF4922" w:rsidRPr="00DF4922">
        <w:rPr>
          <w:lang w:val="fr-FR"/>
        </w:rPr>
        <w:t xml:space="preserve"> sur l</w:t>
      </w:r>
      <w:r w:rsidR="00DF4922">
        <w:rPr>
          <w:lang w:val="fr-FR"/>
        </w:rPr>
        <w:t>a disponibilité de l’eau, 28% et 46% étaient soit d’accord soit</w:t>
      </w:r>
      <w:r w:rsidR="002B553B">
        <w:rPr>
          <w:lang w:val="fr-FR"/>
        </w:rPr>
        <w:t xml:space="preserve"> fortement d’accord avec l’affirmation, respectivement</w:t>
      </w:r>
      <w:r w:rsidR="00504E89">
        <w:rPr>
          <w:lang w:val="fr-FR"/>
        </w:rPr>
        <w:t xml:space="preserve">, que « l’ombrage/l’agroforesterie peuvent </w:t>
      </w:r>
      <w:r w:rsidR="004E5B19">
        <w:rPr>
          <w:lang w:val="fr-FR"/>
        </w:rPr>
        <w:t>atténuer l</w:t>
      </w:r>
      <w:r w:rsidR="00264B0F">
        <w:rPr>
          <w:lang w:val="fr-FR"/>
        </w:rPr>
        <w:t xml:space="preserve">es effets de la sécheresse ». </w:t>
      </w:r>
      <w:r w:rsidR="004D2EC2">
        <w:rPr>
          <w:lang w:val="fr-FR"/>
        </w:rPr>
        <w:t>Une petite portion des répondants (5%) étaient en désaccord avec l’affirmation</w:t>
      </w:r>
      <w:r w:rsidR="000F230D">
        <w:rPr>
          <w:lang w:val="fr-FR"/>
        </w:rPr>
        <w:t>, tandis que le rest</w:t>
      </w:r>
      <w:r w:rsidR="009D4D9A">
        <w:rPr>
          <w:lang w:val="fr-FR"/>
        </w:rPr>
        <w:t>ant des participants</w:t>
      </w:r>
      <w:r w:rsidR="000F230D">
        <w:rPr>
          <w:lang w:val="fr-FR"/>
        </w:rPr>
        <w:t xml:space="preserve"> (21%) n’était ni en accord ni en désaccord</w:t>
      </w:r>
      <w:r w:rsidR="00E10B1E">
        <w:rPr>
          <w:lang w:val="fr-FR"/>
        </w:rPr>
        <w:t xml:space="preserve"> (Figure 4).</w:t>
      </w:r>
    </w:p>
    <w:p w14:paraId="2A61D57D" w14:textId="21A210E4" w:rsidR="009A70CF" w:rsidRPr="0004387B" w:rsidRDefault="009A70CF" w:rsidP="14C782BD">
      <w:pPr>
        <w:rPr>
          <w:lang w:val="fr-FR"/>
        </w:rPr>
      </w:pPr>
      <w:r>
        <w:rPr>
          <w:noProof/>
        </w:rPr>
        <w:drawing>
          <wp:inline distT="0" distB="0" distL="0" distR="0" wp14:anchorId="3541752F" wp14:editId="682AAB99">
            <wp:extent cx="5731510" cy="1583690"/>
            <wp:effectExtent l="0" t="0" r="2540" b="0"/>
            <wp:docPr id="261568425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68425" name="Picture 1" descr="A white background with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63B" w:rsidRPr="0004387B">
        <w:rPr>
          <w:i/>
          <w:iCs/>
          <w:lang w:val="fr-FR"/>
        </w:rPr>
        <w:t xml:space="preserve">Figure </w:t>
      </w:r>
      <w:r w:rsidR="00671164" w:rsidRPr="0004387B">
        <w:rPr>
          <w:i/>
          <w:iCs/>
          <w:lang w:val="fr-FR"/>
        </w:rPr>
        <w:t>3 :</w:t>
      </w:r>
      <w:r w:rsidR="00A54EF9">
        <w:rPr>
          <w:i/>
          <w:iCs/>
          <w:lang w:val="fr-FR"/>
        </w:rPr>
        <w:t xml:space="preserve"> « </w:t>
      </w:r>
      <w:r w:rsidR="00E10B1E" w:rsidRPr="0004387B">
        <w:rPr>
          <w:i/>
          <w:iCs/>
          <w:lang w:val="fr-FR"/>
        </w:rPr>
        <w:t>Réponses à l’affirmation</w:t>
      </w:r>
      <w:r w:rsidR="0004387B" w:rsidRPr="0004387B">
        <w:rPr>
          <w:i/>
          <w:iCs/>
          <w:lang w:val="fr-FR"/>
        </w:rPr>
        <w:t xml:space="preserve"> “L’ombrage/l’agroforesterie peuvent atténuer les t</w:t>
      </w:r>
      <w:r w:rsidR="0004387B">
        <w:rPr>
          <w:i/>
          <w:iCs/>
          <w:lang w:val="fr-FR"/>
        </w:rPr>
        <w:t>empératures élevées »</w:t>
      </w:r>
    </w:p>
    <w:p w14:paraId="77A78651" w14:textId="77777777" w:rsidR="00FC4A15" w:rsidRPr="0004387B" w:rsidRDefault="00FC4A15" w:rsidP="14C782BD">
      <w:pPr>
        <w:rPr>
          <w:i/>
          <w:iCs/>
          <w:lang w:val="fr-FR"/>
        </w:rPr>
      </w:pPr>
    </w:p>
    <w:p w14:paraId="2BBA1000" w14:textId="200A37DA" w:rsidR="00C33F00" w:rsidRDefault="003E68F0" w:rsidP="14C782BD">
      <w:r>
        <w:rPr>
          <w:noProof/>
        </w:rPr>
        <w:lastRenderedPageBreak/>
        <w:drawing>
          <wp:inline distT="0" distB="0" distL="0" distR="0" wp14:anchorId="430D7CBD" wp14:editId="7F5AB002">
            <wp:extent cx="5731510" cy="1530220"/>
            <wp:effectExtent l="0" t="0" r="2540" b="0"/>
            <wp:docPr id="848499476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99476" name="Picture 1" descr="A white background with black dots&#10;&#10;Description automatically generated"/>
                    <pic:cNvPicPr/>
                  </pic:nvPicPr>
                  <pic:blipFill rotWithShape="1">
                    <a:blip r:embed="rId9"/>
                    <a:srcRect b="5609"/>
                    <a:stretch/>
                  </pic:blipFill>
                  <pic:spPr bwMode="auto">
                    <a:xfrm>
                      <a:off x="0" y="0"/>
                      <a:ext cx="5731510" cy="153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9BA2F" w14:textId="323D784A" w:rsidR="003E68F0" w:rsidRPr="00CB23AA" w:rsidRDefault="003E68F0" w:rsidP="14C782BD">
      <w:pPr>
        <w:rPr>
          <w:i/>
          <w:iCs/>
          <w:lang w:val="fr-FR"/>
        </w:rPr>
      </w:pPr>
      <w:r w:rsidRPr="00CB23AA">
        <w:rPr>
          <w:i/>
          <w:iCs/>
          <w:lang w:val="fr-FR"/>
        </w:rPr>
        <w:t xml:space="preserve">Figure </w:t>
      </w:r>
      <w:r w:rsidR="00671164" w:rsidRPr="00CB23AA">
        <w:rPr>
          <w:i/>
          <w:iCs/>
          <w:lang w:val="fr-FR"/>
        </w:rPr>
        <w:t>4 :</w:t>
      </w:r>
      <w:r w:rsidRPr="00CB23AA">
        <w:rPr>
          <w:i/>
          <w:iCs/>
          <w:lang w:val="fr-FR"/>
        </w:rPr>
        <w:t xml:space="preserve"> </w:t>
      </w:r>
      <w:r w:rsidR="00A54EF9" w:rsidRPr="00CB23AA">
        <w:rPr>
          <w:i/>
          <w:iCs/>
          <w:lang w:val="fr-FR"/>
        </w:rPr>
        <w:t>« Réponses à l’affirmation “L’ombrage/l’agroforesterie peuvent atténuer les effets de la sécheresse»</w:t>
      </w:r>
    </w:p>
    <w:p w14:paraId="059D5797" w14:textId="4FE31255" w:rsidR="00CB23AA" w:rsidRPr="004C7110" w:rsidRDefault="00CB23AA" w:rsidP="14C782BD">
      <w:pPr>
        <w:rPr>
          <w:sz w:val="24"/>
          <w:szCs w:val="24"/>
          <w:u w:val="single"/>
          <w:lang w:val="fr-FR"/>
        </w:rPr>
      </w:pPr>
      <w:r w:rsidRPr="004C7110">
        <w:rPr>
          <w:sz w:val="24"/>
          <w:szCs w:val="24"/>
          <w:u w:val="single"/>
          <w:lang w:val="fr-FR"/>
        </w:rPr>
        <w:t>Autres avantages de l’agroforesterie</w:t>
      </w:r>
    </w:p>
    <w:p w14:paraId="3E2020B5" w14:textId="522EF483" w:rsidR="00CB23AA" w:rsidRPr="00B750B4" w:rsidRDefault="00B750B4" w:rsidP="00D23101">
      <w:pPr>
        <w:jc w:val="both"/>
        <w:rPr>
          <w:lang w:val="fr-FR"/>
        </w:rPr>
      </w:pPr>
      <w:r w:rsidRPr="00B750B4">
        <w:rPr>
          <w:lang w:val="fr-FR"/>
        </w:rPr>
        <w:t>En plus d’améliorer le m</w:t>
      </w:r>
      <w:r>
        <w:rPr>
          <w:lang w:val="fr-FR"/>
        </w:rPr>
        <w:t xml:space="preserve">icroenvironnement, </w:t>
      </w:r>
      <w:r w:rsidR="006D0312">
        <w:rPr>
          <w:lang w:val="fr-FR"/>
        </w:rPr>
        <w:t>les répondants ont cité d’autres avantages</w:t>
      </w:r>
      <w:r w:rsidR="00641EC8">
        <w:rPr>
          <w:lang w:val="fr-FR"/>
        </w:rPr>
        <w:t>, y compris un revenu supplémentaire (</w:t>
      </w:r>
      <w:r w:rsidR="000D2522">
        <w:rPr>
          <w:lang w:val="fr-FR"/>
        </w:rPr>
        <w:t>par ex. des arbres à bois)</w:t>
      </w:r>
      <w:r w:rsidR="001578D7">
        <w:rPr>
          <w:lang w:val="fr-FR"/>
        </w:rPr>
        <w:t xml:space="preserve"> et une meilleure sécurité alimentaire</w:t>
      </w:r>
      <w:r w:rsidR="002A3DF9">
        <w:rPr>
          <w:lang w:val="fr-FR"/>
        </w:rPr>
        <w:t xml:space="preserve"> grâce à la diversification des cultures.</w:t>
      </w:r>
      <w:r w:rsidR="00452FE4">
        <w:rPr>
          <w:lang w:val="fr-FR"/>
        </w:rPr>
        <w:t xml:space="preserve"> </w:t>
      </w:r>
      <w:r w:rsidR="00CD37F4">
        <w:rPr>
          <w:lang w:val="fr-FR"/>
        </w:rPr>
        <w:t>L’</w:t>
      </w:r>
      <w:r w:rsidR="00452FE4">
        <w:rPr>
          <w:lang w:val="fr-FR"/>
        </w:rPr>
        <w:t>amélioration de la biodiversité</w:t>
      </w:r>
      <w:r w:rsidR="00CD37F4">
        <w:rPr>
          <w:lang w:val="fr-FR"/>
        </w:rPr>
        <w:t xml:space="preserve">, y compris la possibilité de fournir des hôtes </w:t>
      </w:r>
      <w:r w:rsidR="005D237D">
        <w:rPr>
          <w:lang w:val="fr-FR"/>
        </w:rPr>
        <w:t>aux pollinisateurs, était également un thème clé souligné.</w:t>
      </w:r>
      <w:r w:rsidR="00876F14">
        <w:rPr>
          <w:lang w:val="fr-FR"/>
        </w:rPr>
        <w:t xml:space="preserve"> Un certain nombre de répondants ont not</w:t>
      </w:r>
      <w:r w:rsidR="00555633">
        <w:rPr>
          <w:lang w:val="fr-FR"/>
        </w:rPr>
        <w:t xml:space="preserve">é divers moyens </w:t>
      </w:r>
      <w:r w:rsidR="002619E5">
        <w:rPr>
          <w:lang w:val="fr-FR"/>
        </w:rPr>
        <w:t xml:space="preserve">dont l’agroforesterie peut améliorer </w:t>
      </w:r>
      <w:r w:rsidR="00735154">
        <w:rPr>
          <w:lang w:val="fr-FR"/>
        </w:rPr>
        <w:t>la santé</w:t>
      </w:r>
      <w:r w:rsidR="002619E5">
        <w:rPr>
          <w:lang w:val="fr-FR"/>
        </w:rPr>
        <w:t xml:space="preserve"> des sols</w:t>
      </w:r>
      <w:r w:rsidR="0013668C">
        <w:rPr>
          <w:lang w:val="fr-FR"/>
        </w:rPr>
        <w:t>, y compris l’amélioration du contenu de matière organique contenu</w:t>
      </w:r>
      <w:r w:rsidR="004355BB">
        <w:rPr>
          <w:lang w:val="fr-FR"/>
        </w:rPr>
        <w:t xml:space="preserve">e dans le sol par la chute des feuilles, de meilleures propriétés physicochimiques du sol, </w:t>
      </w:r>
      <w:r w:rsidR="008010C5">
        <w:rPr>
          <w:lang w:val="fr-FR"/>
        </w:rPr>
        <w:t>une meilleure fertilité du sol et le potentiel de recyclage des nutriments si des espèces à racines profondes sont</w:t>
      </w:r>
      <w:r w:rsidR="00D52871">
        <w:rPr>
          <w:lang w:val="fr-FR"/>
        </w:rPr>
        <w:t xml:space="preserve"> utilisées. La capacité</w:t>
      </w:r>
      <w:r w:rsidR="00E10F02">
        <w:rPr>
          <w:lang w:val="fr-FR"/>
        </w:rPr>
        <w:t xml:space="preserve"> des grands arbres à servir de coupe-vent</w:t>
      </w:r>
      <w:r w:rsidR="00712E61">
        <w:rPr>
          <w:lang w:val="fr-FR"/>
        </w:rPr>
        <w:t xml:space="preserve"> a aussi été mentionnée comme avantage.</w:t>
      </w:r>
    </w:p>
    <w:p w14:paraId="474841F8" w14:textId="2635896D" w:rsidR="00CD5FE5" w:rsidRPr="00B750B4" w:rsidRDefault="004C7110" w:rsidP="00CD5FE5">
      <w:pPr>
        <w:rPr>
          <w:sz w:val="24"/>
          <w:szCs w:val="24"/>
          <w:u w:val="single"/>
          <w:lang w:val="fr-FR"/>
        </w:rPr>
      </w:pPr>
      <w:r>
        <w:rPr>
          <w:sz w:val="24"/>
          <w:szCs w:val="24"/>
          <w:u w:val="single"/>
          <w:lang w:val="fr-FR"/>
        </w:rPr>
        <w:t>Inconvénients de l’agroforesterie</w:t>
      </w:r>
    </w:p>
    <w:p w14:paraId="01F43702" w14:textId="0182801A" w:rsidR="004C7110" w:rsidRPr="000C6808" w:rsidRDefault="00112F97" w:rsidP="00D23101">
      <w:pPr>
        <w:jc w:val="both"/>
        <w:rPr>
          <w:rFonts w:ascii="Segoe UI Symbol" w:hAnsi="Segoe UI Symbol"/>
          <w:lang w:val="fr-FR"/>
        </w:rPr>
      </w:pPr>
      <w:r w:rsidRPr="00112F97">
        <w:rPr>
          <w:lang w:val="fr-FR"/>
        </w:rPr>
        <w:t>En citant les potentiels inconvénients d</w:t>
      </w:r>
      <w:r>
        <w:rPr>
          <w:lang w:val="fr-FR"/>
        </w:rPr>
        <w:t xml:space="preserve">e l’agroforesterie, </w:t>
      </w:r>
      <w:r w:rsidR="004417E0">
        <w:rPr>
          <w:lang w:val="fr-FR"/>
        </w:rPr>
        <w:t>de nombreux</w:t>
      </w:r>
      <w:r>
        <w:rPr>
          <w:lang w:val="fr-FR"/>
        </w:rPr>
        <w:t xml:space="preserve"> répondants ont </w:t>
      </w:r>
      <w:r w:rsidR="00F11905">
        <w:rPr>
          <w:lang w:val="fr-FR"/>
        </w:rPr>
        <w:t xml:space="preserve">souligné le besoin </w:t>
      </w:r>
      <w:r w:rsidR="004417E0">
        <w:rPr>
          <w:lang w:val="fr-FR"/>
        </w:rPr>
        <w:t>de systèmes bien géré</w:t>
      </w:r>
      <w:r w:rsidR="0092518B">
        <w:rPr>
          <w:lang w:val="fr-FR"/>
        </w:rPr>
        <w:t xml:space="preserve">s afin d’éviter des conséquences non intentionnelles, </w:t>
      </w:r>
      <w:r w:rsidR="000C6808">
        <w:rPr>
          <w:lang w:val="fr-FR"/>
        </w:rPr>
        <w:t>comme la baisse de rendement dû à l’ombrage</w:t>
      </w:r>
      <w:r w:rsidR="00735154">
        <w:rPr>
          <w:lang w:val="fr-FR"/>
        </w:rPr>
        <w:t xml:space="preserve"> et l</w:t>
      </w:r>
      <w:r w:rsidR="002B26BD">
        <w:rPr>
          <w:lang w:val="fr-FR"/>
        </w:rPr>
        <w:t xml:space="preserve">a possibilité </w:t>
      </w:r>
      <w:r w:rsidR="00735154">
        <w:rPr>
          <w:lang w:val="fr-FR"/>
        </w:rPr>
        <w:t>de créer des hôtes pour les nuisibles et/ou les maladies si le mauvais type d’arbre</w:t>
      </w:r>
      <w:r w:rsidR="0066217E">
        <w:rPr>
          <w:lang w:val="fr-FR"/>
        </w:rPr>
        <w:t xml:space="preserve"> est utilisé. Le problème de l’abattage illégal des arbres</w:t>
      </w:r>
      <w:r w:rsidR="00E779CB">
        <w:rPr>
          <w:lang w:val="fr-FR"/>
        </w:rPr>
        <w:t xml:space="preserve"> a aussi été mentionné, en particulier car de telles activités peuvent avoir un impact destructeur sur les cacaoyers. </w:t>
      </w:r>
      <w:r w:rsidR="00CF6412">
        <w:rPr>
          <w:lang w:val="fr-FR"/>
        </w:rPr>
        <w:t xml:space="preserve">La disponibilité de main-d’œuvre et le financement étaient d’autres </w:t>
      </w:r>
      <w:r w:rsidR="00493D44">
        <w:rPr>
          <w:lang w:val="fr-FR"/>
        </w:rPr>
        <w:t>problèmes associés aux systèmes d’agroforesterie cacaoyère.</w:t>
      </w:r>
    </w:p>
    <w:sectPr w:rsidR="004C7110" w:rsidRPr="000C6808" w:rsidSect="004C2CC8">
      <w:foot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128B" w14:textId="77777777" w:rsidR="009E5B98" w:rsidRDefault="009E5B98" w:rsidP="008E63F6">
      <w:pPr>
        <w:spacing w:after="0" w:line="240" w:lineRule="auto"/>
      </w:pPr>
      <w:r>
        <w:separator/>
      </w:r>
    </w:p>
  </w:endnote>
  <w:endnote w:type="continuationSeparator" w:id="0">
    <w:p w14:paraId="7921C75E" w14:textId="77777777" w:rsidR="009E5B98" w:rsidRDefault="009E5B98" w:rsidP="008E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453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7E441" w14:textId="41A70C8C" w:rsidR="008E63F6" w:rsidRDefault="008E63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34451" w14:textId="77777777" w:rsidR="008E63F6" w:rsidRDefault="008E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9982" w14:textId="77777777" w:rsidR="009E5B98" w:rsidRDefault="009E5B98" w:rsidP="008E63F6">
      <w:pPr>
        <w:spacing w:after="0" w:line="240" w:lineRule="auto"/>
      </w:pPr>
      <w:r>
        <w:separator/>
      </w:r>
    </w:p>
  </w:footnote>
  <w:footnote w:type="continuationSeparator" w:id="0">
    <w:p w14:paraId="53EDB3A6" w14:textId="77777777" w:rsidR="009E5B98" w:rsidRDefault="009E5B98" w:rsidP="008E6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B6"/>
    <w:rsid w:val="0000772D"/>
    <w:rsid w:val="0004387B"/>
    <w:rsid w:val="00047F45"/>
    <w:rsid w:val="00053545"/>
    <w:rsid w:val="000568D3"/>
    <w:rsid w:val="00061FAD"/>
    <w:rsid w:val="000645BA"/>
    <w:rsid w:val="000720AC"/>
    <w:rsid w:val="0009247D"/>
    <w:rsid w:val="000A249F"/>
    <w:rsid w:val="000A5537"/>
    <w:rsid w:val="000C19EF"/>
    <w:rsid w:val="000C463B"/>
    <w:rsid w:val="000C6808"/>
    <w:rsid w:val="000D2522"/>
    <w:rsid w:val="000E0ECA"/>
    <w:rsid w:val="000E3D15"/>
    <w:rsid w:val="000E4270"/>
    <w:rsid w:val="000E7678"/>
    <w:rsid w:val="000F1868"/>
    <w:rsid w:val="000F230D"/>
    <w:rsid w:val="00112F97"/>
    <w:rsid w:val="00113A42"/>
    <w:rsid w:val="00126CCF"/>
    <w:rsid w:val="001279E3"/>
    <w:rsid w:val="0013668C"/>
    <w:rsid w:val="001578D7"/>
    <w:rsid w:val="00165E0F"/>
    <w:rsid w:val="00176B7C"/>
    <w:rsid w:val="0017700C"/>
    <w:rsid w:val="001B14F3"/>
    <w:rsid w:val="001C2870"/>
    <w:rsid w:val="001C58BA"/>
    <w:rsid w:val="001D71A1"/>
    <w:rsid w:val="001E5759"/>
    <w:rsid w:val="001F77D7"/>
    <w:rsid w:val="00200D20"/>
    <w:rsid w:val="002035AF"/>
    <w:rsid w:val="002250D3"/>
    <w:rsid w:val="00233DD0"/>
    <w:rsid w:val="00234D52"/>
    <w:rsid w:val="0025706C"/>
    <w:rsid w:val="002619E5"/>
    <w:rsid w:val="002623E4"/>
    <w:rsid w:val="00264B0F"/>
    <w:rsid w:val="00274EBA"/>
    <w:rsid w:val="0027608E"/>
    <w:rsid w:val="00282052"/>
    <w:rsid w:val="002971B3"/>
    <w:rsid w:val="002A3DF9"/>
    <w:rsid w:val="002B1DDA"/>
    <w:rsid w:val="002B26BD"/>
    <w:rsid w:val="002B553B"/>
    <w:rsid w:val="002F767C"/>
    <w:rsid w:val="003158F0"/>
    <w:rsid w:val="00342674"/>
    <w:rsid w:val="00347FF6"/>
    <w:rsid w:val="0037109B"/>
    <w:rsid w:val="00390513"/>
    <w:rsid w:val="003A0B58"/>
    <w:rsid w:val="003B12B3"/>
    <w:rsid w:val="003C4A78"/>
    <w:rsid w:val="003D2DE0"/>
    <w:rsid w:val="003D5761"/>
    <w:rsid w:val="003E68F0"/>
    <w:rsid w:val="0041033E"/>
    <w:rsid w:val="0041141E"/>
    <w:rsid w:val="00417B45"/>
    <w:rsid w:val="00431F61"/>
    <w:rsid w:val="0043381F"/>
    <w:rsid w:val="004355BB"/>
    <w:rsid w:val="004417E0"/>
    <w:rsid w:val="00452FE4"/>
    <w:rsid w:val="00453DF4"/>
    <w:rsid w:val="00455FEE"/>
    <w:rsid w:val="004638CE"/>
    <w:rsid w:val="00464AAC"/>
    <w:rsid w:val="00476808"/>
    <w:rsid w:val="004870D1"/>
    <w:rsid w:val="00493D44"/>
    <w:rsid w:val="004C2CC8"/>
    <w:rsid w:val="004C7110"/>
    <w:rsid w:val="004D2EC2"/>
    <w:rsid w:val="004D4B8B"/>
    <w:rsid w:val="004D7574"/>
    <w:rsid w:val="004E5B19"/>
    <w:rsid w:val="004F1798"/>
    <w:rsid w:val="00504E89"/>
    <w:rsid w:val="0052241A"/>
    <w:rsid w:val="005352AB"/>
    <w:rsid w:val="005361F7"/>
    <w:rsid w:val="005503A4"/>
    <w:rsid w:val="00554E8E"/>
    <w:rsid w:val="00555633"/>
    <w:rsid w:val="00557A9A"/>
    <w:rsid w:val="00587147"/>
    <w:rsid w:val="0059021F"/>
    <w:rsid w:val="00593798"/>
    <w:rsid w:val="005B6414"/>
    <w:rsid w:val="005D0448"/>
    <w:rsid w:val="005D237D"/>
    <w:rsid w:val="005D3765"/>
    <w:rsid w:val="005E0E5C"/>
    <w:rsid w:val="005E4769"/>
    <w:rsid w:val="005F366B"/>
    <w:rsid w:val="00640CF2"/>
    <w:rsid w:val="00641EC8"/>
    <w:rsid w:val="00642198"/>
    <w:rsid w:val="00642ADE"/>
    <w:rsid w:val="0066217E"/>
    <w:rsid w:val="00671164"/>
    <w:rsid w:val="00671274"/>
    <w:rsid w:val="006A21E5"/>
    <w:rsid w:val="006D0312"/>
    <w:rsid w:val="00707DBE"/>
    <w:rsid w:val="00712E61"/>
    <w:rsid w:val="00723C54"/>
    <w:rsid w:val="00733A60"/>
    <w:rsid w:val="00735154"/>
    <w:rsid w:val="00735B99"/>
    <w:rsid w:val="00740698"/>
    <w:rsid w:val="00750750"/>
    <w:rsid w:val="00760E7D"/>
    <w:rsid w:val="007C3DB3"/>
    <w:rsid w:val="007D41D4"/>
    <w:rsid w:val="007D74C4"/>
    <w:rsid w:val="008010C5"/>
    <w:rsid w:val="0080602D"/>
    <w:rsid w:val="0081492F"/>
    <w:rsid w:val="008256A5"/>
    <w:rsid w:val="00843361"/>
    <w:rsid w:val="0086109E"/>
    <w:rsid w:val="00861FE3"/>
    <w:rsid w:val="00862AE3"/>
    <w:rsid w:val="00876F14"/>
    <w:rsid w:val="00884879"/>
    <w:rsid w:val="0089022F"/>
    <w:rsid w:val="00891302"/>
    <w:rsid w:val="00897A6B"/>
    <w:rsid w:val="008A0D15"/>
    <w:rsid w:val="008A45E8"/>
    <w:rsid w:val="008A4D45"/>
    <w:rsid w:val="008A64B5"/>
    <w:rsid w:val="008C2A1D"/>
    <w:rsid w:val="008C2B41"/>
    <w:rsid w:val="008E63F6"/>
    <w:rsid w:val="0092518B"/>
    <w:rsid w:val="00927395"/>
    <w:rsid w:val="009273EF"/>
    <w:rsid w:val="0093303D"/>
    <w:rsid w:val="009350DB"/>
    <w:rsid w:val="00940B5D"/>
    <w:rsid w:val="00942456"/>
    <w:rsid w:val="00967DBE"/>
    <w:rsid w:val="00994F74"/>
    <w:rsid w:val="00996228"/>
    <w:rsid w:val="009A70CF"/>
    <w:rsid w:val="009C0CFD"/>
    <w:rsid w:val="009C5C2C"/>
    <w:rsid w:val="009D3C39"/>
    <w:rsid w:val="009D4D9A"/>
    <w:rsid w:val="009E5B98"/>
    <w:rsid w:val="00A46B0D"/>
    <w:rsid w:val="00A53768"/>
    <w:rsid w:val="00A54EF9"/>
    <w:rsid w:val="00A57F87"/>
    <w:rsid w:val="00A66A3F"/>
    <w:rsid w:val="00A84FFC"/>
    <w:rsid w:val="00AA2B8A"/>
    <w:rsid w:val="00AD5392"/>
    <w:rsid w:val="00AD6087"/>
    <w:rsid w:val="00AE3355"/>
    <w:rsid w:val="00B05036"/>
    <w:rsid w:val="00B3393E"/>
    <w:rsid w:val="00B525B2"/>
    <w:rsid w:val="00B5448E"/>
    <w:rsid w:val="00B750B4"/>
    <w:rsid w:val="00B96704"/>
    <w:rsid w:val="00BA102F"/>
    <w:rsid w:val="00BA461E"/>
    <w:rsid w:val="00BD24B6"/>
    <w:rsid w:val="00BD3E63"/>
    <w:rsid w:val="00BE1D50"/>
    <w:rsid w:val="00BF7759"/>
    <w:rsid w:val="00C06308"/>
    <w:rsid w:val="00C24621"/>
    <w:rsid w:val="00C31F8F"/>
    <w:rsid w:val="00C33F00"/>
    <w:rsid w:val="00C37D77"/>
    <w:rsid w:val="00C53234"/>
    <w:rsid w:val="00C93580"/>
    <w:rsid w:val="00C95B42"/>
    <w:rsid w:val="00C977AF"/>
    <w:rsid w:val="00CA02F3"/>
    <w:rsid w:val="00CB23AA"/>
    <w:rsid w:val="00CC457B"/>
    <w:rsid w:val="00CD37F4"/>
    <w:rsid w:val="00CD5FE5"/>
    <w:rsid w:val="00CE54FF"/>
    <w:rsid w:val="00CE613A"/>
    <w:rsid w:val="00CF19F6"/>
    <w:rsid w:val="00CF6412"/>
    <w:rsid w:val="00CF7A16"/>
    <w:rsid w:val="00D11BDF"/>
    <w:rsid w:val="00D23101"/>
    <w:rsid w:val="00D51096"/>
    <w:rsid w:val="00D52871"/>
    <w:rsid w:val="00D82B87"/>
    <w:rsid w:val="00D92344"/>
    <w:rsid w:val="00DA06CD"/>
    <w:rsid w:val="00DA6FFA"/>
    <w:rsid w:val="00DB0BE8"/>
    <w:rsid w:val="00DC6C49"/>
    <w:rsid w:val="00DD3669"/>
    <w:rsid w:val="00DF30D0"/>
    <w:rsid w:val="00DF4922"/>
    <w:rsid w:val="00E01487"/>
    <w:rsid w:val="00E10215"/>
    <w:rsid w:val="00E10B1E"/>
    <w:rsid w:val="00E10F02"/>
    <w:rsid w:val="00E16D58"/>
    <w:rsid w:val="00E4297E"/>
    <w:rsid w:val="00E779CB"/>
    <w:rsid w:val="00E84339"/>
    <w:rsid w:val="00EA6F8C"/>
    <w:rsid w:val="00EB5211"/>
    <w:rsid w:val="00ED658F"/>
    <w:rsid w:val="00EE1325"/>
    <w:rsid w:val="00EF1BD6"/>
    <w:rsid w:val="00EF7379"/>
    <w:rsid w:val="00F05E12"/>
    <w:rsid w:val="00F0642E"/>
    <w:rsid w:val="00F11905"/>
    <w:rsid w:val="00F2783B"/>
    <w:rsid w:val="00F27ED4"/>
    <w:rsid w:val="00F44DD2"/>
    <w:rsid w:val="00F545FF"/>
    <w:rsid w:val="00F679C0"/>
    <w:rsid w:val="00F701FD"/>
    <w:rsid w:val="00F72ED5"/>
    <w:rsid w:val="00F8196D"/>
    <w:rsid w:val="00F839A1"/>
    <w:rsid w:val="00F94965"/>
    <w:rsid w:val="00FA6655"/>
    <w:rsid w:val="00FB326E"/>
    <w:rsid w:val="00FC4A15"/>
    <w:rsid w:val="00FD455D"/>
    <w:rsid w:val="00FD571B"/>
    <w:rsid w:val="00FE565F"/>
    <w:rsid w:val="00FE5C23"/>
    <w:rsid w:val="00FE79E3"/>
    <w:rsid w:val="00FF2FB1"/>
    <w:rsid w:val="06E057A8"/>
    <w:rsid w:val="082E09E2"/>
    <w:rsid w:val="08A5A208"/>
    <w:rsid w:val="0D879896"/>
    <w:rsid w:val="0ECD25AB"/>
    <w:rsid w:val="1259A057"/>
    <w:rsid w:val="13DA9164"/>
    <w:rsid w:val="13FB6DA8"/>
    <w:rsid w:val="14C782BD"/>
    <w:rsid w:val="1865FBE6"/>
    <w:rsid w:val="1E3679F9"/>
    <w:rsid w:val="1E9402AB"/>
    <w:rsid w:val="1E94AF4C"/>
    <w:rsid w:val="1F17E72C"/>
    <w:rsid w:val="22ACFD0F"/>
    <w:rsid w:val="26DF773C"/>
    <w:rsid w:val="295EBD77"/>
    <w:rsid w:val="2B3B0C04"/>
    <w:rsid w:val="2BC408B8"/>
    <w:rsid w:val="2E6BA584"/>
    <w:rsid w:val="2FB39E59"/>
    <w:rsid w:val="2FB98CB2"/>
    <w:rsid w:val="3143F9C2"/>
    <w:rsid w:val="337A4A4E"/>
    <w:rsid w:val="34BFEC7A"/>
    <w:rsid w:val="36802742"/>
    <w:rsid w:val="39FAE8C6"/>
    <w:rsid w:val="3A593FE2"/>
    <w:rsid w:val="3ADD3113"/>
    <w:rsid w:val="3B3AFBD6"/>
    <w:rsid w:val="3BFBA352"/>
    <w:rsid w:val="3DC896A4"/>
    <w:rsid w:val="42C9368F"/>
    <w:rsid w:val="43058E8F"/>
    <w:rsid w:val="43C25B06"/>
    <w:rsid w:val="448E6AD6"/>
    <w:rsid w:val="4887AD64"/>
    <w:rsid w:val="48F20A07"/>
    <w:rsid w:val="4D24B503"/>
    <w:rsid w:val="4EBCD90F"/>
    <w:rsid w:val="4FFC2F74"/>
    <w:rsid w:val="511804B8"/>
    <w:rsid w:val="51240D29"/>
    <w:rsid w:val="51469861"/>
    <w:rsid w:val="5168DB58"/>
    <w:rsid w:val="5835167A"/>
    <w:rsid w:val="59F6890C"/>
    <w:rsid w:val="5A1952E6"/>
    <w:rsid w:val="5AB4EAEC"/>
    <w:rsid w:val="5B720814"/>
    <w:rsid w:val="5C992024"/>
    <w:rsid w:val="5D913354"/>
    <w:rsid w:val="5DC10EF7"/>
    <w:rsid w:val="5F256BCC"/>
    <w:rsid w:val="6AB156FB"/>
    <w:rsid w:val="6D5331FD"/>
    <w:rsid w:val="6D861FF7"/>
    <w:rsid w:val="6D8D8E4D"/>
    <w:rsid w:val="71DBF569"/>
    <w:rsid w:val="769DB04C"/>
    <w:rsid w:val="7911C959"/>
    <w:rsid w:val="7A6BF9B9"/>
    <w:rsid w:val="7B986503"/>
    <w:rsid w:val="7C486FF0"/>
    <w:rsid w:val="7EA7F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0C1E"/>
  <w15:chartTrackingRefBased/>
  <w15:docId w15:val="{B2137D07-4E0D-4625-93BF-A98B4BB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F6"/>
  </w:style>
  <w:style w:type="paragraph" w:styleId="Footer">
    <w:name w:val="footer"/>
    <w:basedOn w:val="Normal"/>
    <w:link w:val="FooterChar"/>
    <w:uiPriority w:val="99"/>
    <w:unhideWhenUsed/>
    <w:rsid w:val="008E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'[Cocoa &amp; Climate Change Survey.xlsx]Sheet2'!$C$2:$C$8</c:f>
              <c:strCache>
                <c:ptCount val="7"/>
                <c:pt idx="0">
                  <c:v>North America</c:v>
                </c:pt>
                <c:pt idx="1">
                  <c:v>Central America &amp; Caribbean</c:v>
                </c:pt>
                <c:pt idx="2">
                  <c:v>South America</c:v>
                </c:pt>
                <c:pt idx="3">
                  <c:v>Europe</c:v>
                </c:pt>
                <c:pt idx="4">
                  <c:v>West Africa</c:v>
                </c:pt>
                <c:pt idx="5">
                  <c:v>SE Asia</c:v>
                </c:pt>
                <c:pt idx="6">
                  <c:v>South Asia</c:v>
                </c:pt>
              </c:strCache>
            </c:strRef>
          </c:cat>
          <c:val>
            <c:numRef>
              <c:f>'[Cocoa &amp; Climate Change Survey.xlsx]Sheet2'!$D$2:$D$8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14</c:v>
                </c:pt>
                <c:pt idx="3">
                  <c:v>12</c:v>
                </c:pt>
                <c:pt idx="4">
                  <c:v>19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5-4EFC-B7AC-3C5B0C01E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2420159"/>
        <c:axId val="922421599"/>
      </c:barChart>
      <c:catAx>
        <c:axId val="922420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421599"/>
        <c:crosses val="autoZero"/>
        <c:auto val="1"/>
        <c:lblAlgn val="ctr"/>
        <c:lblOffset val="100"/>
        <c:noMultiLvlLbl val="0"/>
      </c:catAx>
      <c:valAx>
        <c:axId val="922421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>
                    <a:solidFill>
                      <a:schemeClr val="tx1"/>
                    </a:solidFill>
                  </a:rPr>
                  <a:t>Number</a:t>
                </a:r>
                <a:r>
                  <a:rPr lang="en-GB" sz="1200" baseline="0">
                    <a:solidFill>
                      <a:schemeClr val="tx1"/>
                    </a:solidFill>
                  </a:rPr>
                  <a:t> of participants</a:t>
                </a:r>
                <a:endParaRPr lang="en-GB" sz="120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42015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Daymond</dc:creator>
  <cp:keywords/>
  <dc:description/>
  <cp:lastModifiedBy>Andrew Daymond</cp:lastModifiedBy>
  <cp:revision>3</cp:revision>
  <dcterms:created xsi:type="dcterms:W3CDTF">2025-05-20T15:59:00Z</dcterms:created>
  <dcterms:modified xsi:type="dcterms:W3CDTF">2025-05-27T15:31:00Z</dcterms:modified>
</cp:coreProperties>
</file>