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3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916"/>
        <w:gridCol w:w="6959"/>
      </w:tblGrid>
      <w:tr w:rsidR="005F24FF" w:rsidRPr="005F24FF" w14:paraId="3FE93AEE" w14:textId="77777777" w:rsidTr="005F24FF">
        <w:trPr>
          <w:trHeight w:val="113"/>
        </w:trPr>
        <w:tc>
          <w:tcPr>
            <w:tcW w:w="0" w:type="auto"/>
            <w:tcBorders>
              <w:top w:val="single" w:sz="6" w:space="0" w:color="ABABAB"/>
              <w:left w:val="single" w:sz="6" w:space="0" w:color="ABABAB"/>
              <w:bottom w:val="single" w:sz="6" w:space="0" w:color="ABABAB"/>
              <w:right w:val="single" w:sz="6" w:space="0" w:color="ABABAB"/>
            </w:tcBorders>
            <w:shd w:val="clear" w:color="auto" w:fill="FFFFFF"/>
            <w:tcMar>
              <w:top w:w="0" w:type="dxa"/>
              <w:left w:w="108" w:type="dxa"/>
              <w:bottom w:w="0" w:type="dxa"/>
              <w:right w:w="108" w:type="dxa"/>
            </w:tcMar>
            <w:hideMark/>
          </w:tcPr>
          <w:p w14:paraId="21A63643" w14:textId="3BC6DE79" w:rsidR="005F24FF" w:rsidRPr="00F36BC8" w:rsidRDefault="00F36BC8" w:rsidP="005F24FF">
            <w:pPr>
              <w:rPr>
                <w:b/>
                <w:bCs/>
              </w:rPr>
            </w:pPr>
            <w:r w:rsidRPr="00F36BC8">
              <w:rPr>
                <w:b/>
                <w:bCs/>
                <w:sz w:val="32"/>
                <w:szCs w:val="32"/>
              </w:rPr>
              <w:t>Posters</w:t>
            </w:r>
          </w:p>
        </w:tc>
        <w:tc>
          <w:tcPr>
            <w:tcW w:w="0" w:type="auto"/>
            <w:tcBorders>
              <w:top w:val="single" w:sz="6" w:space="0" w:color="ABABAB"/>
              <w:left w:val="single" w:sz="6" w:space="0" w:color="ABABAB"/>
              <w:bottom w:val="single" w:sz="6" w:space="0" w:color="ABABAB"/>
              <w:right w:val="single" w:sz="6" w:space="0" w:color="ABABAB"/>
            </w:tcBorders>
            <w:shd w:val="clear" w:color="auto" w:fill="FFFFFF"/>
            <w:tcMar>
              <w:top w:w="0" w:type="dxa"/>
              <w:left w:w="108" w:type="dxa"/>
              <w:bottom w:w="0" w:type="dxa"/>
              <w:right w:w="108" w:type="dxa"/>
            </w:tcMar>
            <w:hideMark/>
          </w:tcPr>
          <w:p w14:paraId="007C6988" w14:textId="77777777" w:rsidR="005F24FF" w:rsidRPr="005F24FF" w:rsidRDefault="005F24FF" w:rsidP="005F24FF">
            <w:r w:rsidRPr="005F24FF">
              <w:t>Theme</w:t>
            </w:r>
          </w:p>
        </w:tc>
      </w:tr>
      <w:tr w:rsidR="005F24FF" w:rsidRPr="005F24FF" w14:paraId="13E81C8F" w14:textId="77777777" w:rsidTr="00C42CC9">
        <w:trPr>
          <w:trHeight w:val="1086"/>
        </w:trPr>
        <w:tc>
          <w:tcPr>
            <w:tcW w:w="0" w:type="auto"/>
            <w:tcBorders>
              <w:top w:val="single" w:sz="6" w:space="0" w:color="ABABAB"/>
              <w:left w:val="single" w:sz="6" w:space="0" w:color="ABABAB"/>
              <w:bottom w:val="single" w:sz="6" w:space="0" w:color="ABABAB"/>
              <w:right w:val="single" w:sz="6" w:space="0" w:color="ABABAB"/>
            </w:tcBorders>
            <w:shd w:val="clear" w:color="auto" w:fill="D9F2D0" w:themeFill="accent6" w:themeFillTint="33"/>
            <w:tcMar>
              <w:top w:w="0" w:type="dxa"/>
              <w:left w:w="108" w:type="dxa"/>
              <w:bottom w:w="0" w:type="dxa"/>
              <w:right w:w="108" w:type="dxa"/>
            </w:tcMar>
            <w:hideMark/>
          </w:tcPr>
          <w:p w14:paraId="481E1C11" w14:textId="43A3CAA5" w:rsidR="005F24FF" w:rsidRPr="005F24FF" w:rsidRDefault="005F24FF" w:rsidP="005F24FF">
            <w:r w:rsidRPr="005F24FF">
              <w:t>Ingrid Nanne</w:t>
            </w:r>
            <w:r>
              <w:t xml:space="preserve"> </w:t>
            </w:r>
            <w:r w:rsidRPr="005F24FF">
              <w:t>Lippmann</w:t>
            </w:r>
          </w:p>
          <w:p w14:paraId="76981AF1" w14:textId="58961523" w:rsidR="005F24FF" w:rsidRPr="005F24FF" w:rsidRDefault="00857902" w:rsidP="005F24FF">
            <w:r>
              <w:t>Received</w:t>
            </w:r>
          </w:p>
        </w:tc>
        <w:tc>
          <w:tcPr>
            <w:tcW w:w="0" w:type="auto"/>
            <w:tcBorders>
              <w:top w:val="single" w:sz="6" w:space="0" w:color="ABABAB"/>
              <w:left w:val="single" w:sz="6" w:space="0" w:color="ABABAB"/>
              <w:bottom w:val="single" w:sz="6" w:space="0" w:color="ABABAB"/>
              <w:right w:val="single" w:sz="6" w:space="0" w:color="ABABAB"/>
            </w:tcBorders>
            <w:shd w:val="clear" w:color="auto" w:fill="FFFFFF"/>
            <w:tcMar>
              <w:top w:w="0" w:type="dxa"/>
              <w:left w:w="108" w:type="dxa"/>
              <w:bottom w:w="0" w:type="dxa"/>
              <w:right w:w="108" w:type="dxa"/>
            </w:tcMar>
            <w:vAlign w:val="center"/>
            <w:hideMark/>
          </w:tcPr>
          <w:p w14:paraId="444E88EF" w14:textId="77777777" w:rsidR="005F24FF" w:rsidRPr="005F24FF" w:rsidRDefault="005F24FF" w:rsidP="00C42CC9">
            <w:r w:rsidRPr="005F24FF">
              <w:t>Barriers and Opportunities in Bilingual Language Education Policy in Mayan Languages in Guatemala</w:t>
            </w:r>
          </w:p>
        </w:tc>
      </w:tr>
      <w:tr w:rsidR="005F24FF" w:rsidRPr="005F24FF" w14:paraId="67309409" w14:textId="77777777" w:rsidTr="00C42CC9">
        <w:trPr>
          <w:trHeight w:val="781"/>
        </w:trPr>
        <w:tc>
          <w:tcPr>
            <w:tcW w:w="0" w:type="auto"/>
            <w:tcBorders>
              <w:top w:val="single" w:sz="6" w:space="0" w:color="ABABAB"/>
              <w:left w:val="single" w:sz="6" w:space="0" w:color="ABABAB"/>
              <w:bottom w:val="single" w:sz="6" w:space="0" w:color="ABABAB"/>
              <w:right w:val="single" w:sz="6" w:space="0" w:color="ABABAB"/>
            </w:tcBorders>
            <w:shd w:val="clear" w:color="auto" w:fill="D9F2D0" w:themeFill="accent6" w:themeFillTint="33"/>
            <w:tcMar>
              <w:top w:w="0" w:type="dxa"/>
              <w:left w:w="108" w:type="dxa"/>
              <w:bottom w:w="0" w:type="dxa"/>
              <w:right w:w="108" w:type="dxa"/>
            </w:tcMar>
            <w:hideMark/>
          </w:tcPr>
          <w:p w14:paraId="3BDFB2CA" w14:textId="77777777" w:rsidR="005F24FF" w:rsidRDefault="005F24FF" w:rsidP="005F24FF">
            <w:r w:rsidRPr="005F24FF">
              <w:t>Hannah Proctor</w:t>
            </w:r>
            <w:r w:rsidRPr="005F24FF">
              <w:br/>
            </w:r>
          </w:p>
          <w:p w14:paraId="4A9C445C" w14:textId="6702C200" w:rsidR="00857902" w:rsidRPr="005F24FF" w:rsidRDefault="00857902" w:rsidP="005F24FF">
            <w:r>
              <w:t>Received</w:t>
            </w:r>
          </w:p>
        </w:tc>
        <w:tc>
          <w:tcPr>
            <w:tcW w:w="0" w:type="auto"/>
            <w:tcBorders>
              <w:top w:val="single" w:sz="6" w:space="0" w:color="ABABAB"/>
              <w:left w:val="single" w:sz="6" w:space="0" w:color="ABABAB"/>
              <w:bottom w:val="single" w:sz="6" w:space="0" w:color="ABABAB"/>
              <w:right w:val="single" w:sz="6" w:space="0" w:color="ABABAB"/>
            </w:tcBorders>
            <w:shd w:val="clear" w:color="auto" w:fill="FFFFFF"/>
            <w:tcMar>
              <w:top w:w="0" w:type="dxa"/>
              <w:left w:w="108" w:type="dxa"/>
              <w:bottom w:w="0" w:type="dxa"/>
              <w:right w:w="108" w:type="dxa"/>
            </w:tcMar>
            <w:vAlign w:val="center"/>
            <w:hideMark/>
          </w:tcPr>
          <w:p w14:paraId="457CFE32" w14:textId="795750A2" w:rsidR="005F24FF" w:rsidRPr="005F24FF" w:rsidRDefault="005F24FF" w:rsidP="00C42CC9">
            <w:r w:rsidRPr="005F24FF">
              <w:t>An exploration into the experience and perceptions of transition into adulthood for autistic learners in further education. </w:t>
            </w:r>
          </w:p>
        </w:tc>
      </w:tr>
      <w:tr w:rsidR="005F24FF" w:rsidRPr="005F24FF" w14:paraId="30B071CD" w14:textId="77777777" w:rsidTr="00C42CC9">
        <w:trPr>
          <w:trHeight w:val="729"/>
        </w:trPr>
        <w:tc>
          <w:tcPr>
            <w:tcW w:w="0" w:type="auto"/>
            <w:tcBorders>
              <w:top w:val="single" w:sz="6" w:space="0" w:color="ABABAB"/>
              <w:left w:val="single" w:sz="6" w:space="0" w:color="ABABAB"/>
              <w:bottom w:val="single" w:sz="6" w:space="0" w:color="ABABAB"/>
              <w:right w:val="single" w:sz="6" w:space="0" w:color="ABABAB"/>
            </w:tcBorders>
            <w:shd w:val="clear" w:color="auto" w:fill="D9F2D0" w:themeFill="accent6" w:themeFillTint="33"/>
            <w:tcMar>
              <w:top w:w="0" w:type="dxa"/>
              <w:left w:w="108" w:type="dxa"/>
              <w:bottom w:w="0" w:type="dxa"/>
              <w:right w:w="108" w:type="dxa"/>
            </w:tcMar>
            <w:hideMark/>
          </w:tcPr>
          <w:p w14:paraId="4DAC0F3C" w14:textId="77777777" w:rsidR="005F24FF" w:rsidRPr="005F24FF" w:rsidRDefault="005F24FF" w:rsidP="005F24FF">
            <w:r w:rsidRPr="005F24FF">
              <w:t>Favita Dias</w:t>
            </w:r>
          </w:p>
          <w:p w14:paraId="55A7D070" w14:textId="77BA6665" w:rsidR="005F24FF" w:rsidRPr="005F24FF" w:rsidRDefault="00857902" w:rsidP="005F24FF">
            <w:r>
              <w:t>Received</w:t>
            </w:r>
          </w:p>
        </w:tc>
        <w:tc>
          <w:tcPr>
            <w:tcW w:w="0" w:type="auto"/>
            <w:tcBorders>
              <w:top w:val="single" w:sz="6" w:space="0" w:color="ABABAB"/>
              <w:left w:val="single" w:sz="6" w:space="0" w:color="ABABAB"/>
              <w:bottom w:val="single" w:sz="6" w:space="0" w:color="ABABAB"/>
              <w:right w:val="single" w:sz="6" w:space="0" w:color="ABABAB"/>
            </w:tcBorders>
            <w:shd w:val="clear" w:color="auto" w:fill="FFFFFF"/>
            <w:tcMar>
              <w:top w:w="0" w:type="dxa"/>
              <w:left w:w="108" w:type="dxa"/>
              <w:bottom w:w="0" w:type="dxa"/>
              <w:right w:w="108" w:type="dxa"/>
            </w:tcMar>
            <w:vAlign w:val="center"/>
            <w:hideMark/>
          </w:tcPr>
          <w:p w14:paraId="21F43560" w14:textId="44A0360E" w:rsidR="005F24FF" w:rsidRPr="005F24FF" w:rsidRDefault="005F24FF" w:rsidP="00C42CC9">
            <w:r w:rsidRPr="005F24FF">
              <w:t> </w:t>
            </w:r>
            <w:r w:rsidR="006A3EC0" w:rsidRPr="006A3EC0">
              <w:t>Everyday caste-based discrimination faced by the Goan Indigenous communities in higher education.</w:t>
            </w:r>
          </w:p>
        </w:tc>
      </w:tr>
      <w:tr w:rsidR="005F24FF" w:rsidRPr="005F24FF" w14:paraId="683E1E40" w14:textId="77777777" w:rsidTr="00C42CC9">
        <w:trPr>
          <w:trHeight w:val="925"/>
        </w:trPr>
        <w:tc>
          <w:tcPr>
            <w:tcW w:w="0" w:type="auto"/>
            <w:tcBorders>
              <w:top w:val="single" w:sz="6" w:space="0" w:color="ABABAB"/>
              <w:left w:val="single" w:sz="6" w:space="0" w:color="ABABAB"/>
              <w:bottom w:val="single" w:sz="6" w:space="0" w:color="ABABAB"/>
              <w:right w:val="single" w:sz="6" w:space="0" w:color="ABABAB"/>
            </w:tcBorders>
            <w:shd w:val="clear" w:color="auto" w:fill="D9F2D0" w:themeFill="accent6" w:themeFillTint="33"/>
            <w:tcMar>
              <w:top w:w="0" w:type="dxa"/>
              <w:left w:w="108" w:type="dxa"/>
              <w:bottom w:w="0" w:type="dxa"/>
              <w:right w:w="108" w:type="dxa"/>
            </w:tcMar>
            <w:hideMark/>
          </w:tcPr>
          <w:p w14:paraId="3E0497F1" w14:textId="51468C21" w:rsidR="005F24FF" w:rsidRPr="005F24FF" w:rsidRDefault="005F24FF" w:rsidP="005F24FF">
            <w:r w:rsidRPr="005F24FF">
              <w:t>Alex Oladiti</w:t>
            </w:r>
          </w:p>
          <w:p w14:paraId="5B7E0114" w14:textId="7D971B8C" w:rsidR="005F24FF" w:rsidRPr="005F24FF" w:rsidRDefault="00857902" w:rsidP="005F24FF">
            <w:r>
              <w:t xml:space="preserve">Received </w:t>
            </w:r>
          </w:p>
        </w:tc>
        <w:tc>
          <w:tcPr>
            <w:tcW w:w="0" w:type="auto"/>
            <w:tcBorders>
              <w:top w:val="single" w:sz="6" w:space="0" w:color="ABABAB"/>
              <w:left w:val="single" w:sz="6" w:space="0" w:color="ABABAB"/>
              <w:bottom w:val="single" w:sz="6" w:space="0" w:color="ABABAB"/>
              <w:right w:val="single" w:sz="6" w:space="0" w:color="ABABAB"/>
            </w:tcBorders>
            <w:shd w:val="clear" w:color="auto" w:fill="FFFFFF"/>
            <w:tcMar>
              <w:top w:w="0" w:type="dxa"/>
              <w:left w:w="108" w:type="dxa"/>
              <w:bottom w:w="0" w:type="dxa"/>
              <w:right w:w="108" w:type="dxa"/>
            </w:tcMar>
            <w:vAlign w:val="center"/>
            <w:hideMark/>
          </w:tcPr>
          <w:p w14:paraId="0BFC470B" w14:textId="77777777" w:rsidR="005F24FF" w:rsidRPr="005F24FF" w:rsidRDefault="005F24FF" w:rsidP="00C42CC9">
            <w:r w:rsidRPr="005F24FF">
              <w:t>The Vanishing Black African Male in Sixth Form Leadership</w:t>
            </w:r>
          </w:p>
        </w:tc>
      </w:tr>
      <w:tr w:rsidR="005F24FF" w:rsidRPr="005F24FF" w14:paraId="3C7494D5" w14:textId="77777777" w:rsidTr="00C42CC9">
        <w:trPr>
          <w:trHeight w:val="789"/>
        </w:trPr>
        <w:tc>
          <w:tcPr>
            <w:tcW w:w="0" w:type="auto"/>
            <w:tcBorders>
              <w:top w:val="single" w:sz="6" w:space="0" w:color="ABABAB"/>
              <w:left w:val="single" w:sz="6" w:space="0" w:color="ABABAB"/>
              <w:bottom w:val="single" w:sz="6" w:space="0" w:color="ABABAB"/>
              <w:right w:val="single" w:sz="6" w:space="0" w:color="ABABAB"/>
            </w:tcBorders>
            <w:shd w:val="clear" w:color="auto" w:fill="D9F2D0" w:themeFill="accent6" w:themeFillTint="33"/>
            <w:tcMar>
              <w:top w:w="0" w:type="dxa"/>
              <w:left w:w="108" w:type="dxa"/>
              <w:bottom w:w="0" w:type="dxa"/>
              <w:right w:w="108" w:type="dxa"/>
            </w:tcMar>
            <w:hideMark/>
          </w:tcPr>
          <w:p w14:paraId="4FEA3B4C" w14:textId="5B6B2325" w:rsidR="005F24FF" w:rsidRPr="005F24FF" w:rsidRDefault="005F24FF" w:rsidP="005F24FF">
            <w:r w:rsidRPr="005F24FF">
              <w:t>Allison Zionts</w:t>
            </w:r>
            <w:r w:rsidR="00F36BC8">
              <w:t xml:space="preserve"> tbc</w:t>
            </w:r>
          </w:p>
        </w:tc>
        <w:tc>
          <w:tcPr>
            <w:tcW w:w="0" w:type="auto"/>
            <w:tcBorders>
              <w:top w:val="single" w:sz="6" w:space="0" w:color="ABABAB"/>
              <w:left w:val="single" w:sz="6" w:space="0" w:color="ABABAB"/>
              <w:bottom w:val="single" w:sz="6" w:space="0" w:color="ABABAB"/>
              <w:right w:val="single" w:sz="6" w:space="0" w:color="ABABAB"/>
            </w:tcBorders>
            <w:shd w:val="clear" w:color="auto" w:fill="FFFFFF"/>
            <w:tcMar>
              <w:top w:w="0" w:type="dxa"/>
              <w:left w:w="108" w:type="dxa"/>
              <w:bottom w:w="0" w:type="dxa"/>
              <w:right w:w="108" w:type="dxa"/>
            </w:tcMar>
            <w:vAlign w:val="center"/>
            <w:hideMark/>
          </w:tcPr>
          <w:p w14:paraId="67F1A5DA" w14:textId="77777777" w:rsidR="005F24FF" w:rsidRPr="005F24FF" w:rsidRDefault="005F24FF" w:rsidP="00C42CC9"/>
        </w:tc>
      </w:tr>
    </w:tbl>
    <w:p w14:paraId="1C511E2A" w14:textId="77777777" w:rsidR="00C52C77" w:rsidRDefault="00C52C77"/>
    <w:p w14:paraId="7AB9942E" w14:textId="0B800812" w:rsidR="00F917BF" w:rsidRDefault="00F917BF">
      <w:r>
        <w:br w:type="page"/>
      </w:r>
    </w:p>
    <w:p w14:paraId="49C263AB" w14:textId="77777777" w:rsidR="005E7463" w:rsidRDefault="005E7463"/>
    <w:tbl>
      <w:tblPr>
        <w:tblStyle w:val="TableGrid"/>
        <w:tblW w:w="9498" w:type="dxa"/>
        <w:tblInd w:w="-147" w:type="dxa"/>
        <w:tblLook w:val="04A0" w:firstRow="1" w:lastRow="0" w:firstColumn="1" w:lastColumn="0" w:noHBand="0" w:noVBand="1"/>
      </w:tblPr>
      <w:tblGrid>
        <w:gridCol w:w="1238"/>
        <w:gridCol w:w="1881"/>
        <w:gridCol w:w="6379"/>
      </w:tblGrid>
      <w:tr w:rsidR="005E7463" w14:paraId="446ABAF5" w14:textId="5CCC9C61" w:rsidTr="00F36BC8">
        <w:tc>
          <w:tcPr>
            <w:tcW w:w="1238" w:type="dxa"/>
          </w:tcPr>
          <w:p w14:paraId="585FC3AB" w14:textId="4851FE57" w:rsidR="005E7463" w:rsidRDefault="005E7463">
            <w:r>
              <w:t>Time</w:t>
            </w:r>
          </w:p>
        </w:tc>
        <w:tc>
          <w:tcPr>
            <w:tcW w:w="1881" w:type="dxa"/>
          </w:tcPr>
          <w:p w14:paraId="6CE265DD" w14:textId="58087BEB" w:rsidR="005E7463" w:rsidRDefault="005E7463">
            <w:r>
              <w:t>Who</w:t>
            </w:r>
          </w:p>
        </w:tc>
        <w:tc>
          <w:tcPr>
            <w:tcW w:w="6379" w:type="dxa"/>
          </w:tcPr>
          <w:p w14:paraId="3098246F" w14:textId="0E3CC403" w:rsidR="005E7463" w:rsidRDefault="005E7463">
            <w:r>
              <w:t>Title</w:t>
            </w:r>
            <w:r w:rsidR="00556ADD">
              <w:t>/Abstract</w:t>
            </w:r>
          </w:p>
        </w:tc>
      </w:tr>
      <w:tr w:rsidR="00E00833" w14:paraId="16E073DD" w14:textId="77777777" w:rsidTr="00F917BF">
        <w:tc>
          <w:tcPr>
            <w:tcW w:w="1238" w:type="dxa"/>
            <w:vAlign w:val="center"/>
          </w:tcPr>
          <w:p w14:paraId="2437462A" w14:textId="095A5C76" w:rsidR="00E00833" w:rsidRDefault="00F02169" w:rsidP="00F917BF">
            <w:r>
              <w:t>10</w:t>
            </w:r>
            <w:r w:rsidR="00AE662C">
              <w:t>30</w:t>
            </w:r>
          </w:p>
        </w:tc>
        <w:tc>
          <w:tcPr>
            <w:tcW w:w="1881" w:type="dxa"/>
            <w:vAlign w:val="center"/>
          </w:tcPr>
          <w:p w14:paraId="778B798B" w14:textId="0ABAC172" w:rsidR="00E00833" w:rsidRDefault="00E00833" w:rsidP="00F917BF">
            <w:r>
              <w:t>Z</w:t>
            </w:r>
            <w:r w:rsidR="00821E67">
              <w:t xml:space="preserve">henjie </w:t>
            </w:r>
            <w:r w:rsidR="00287D96">
              <w:t>Qin, Mark Aitchison &amp; Dr Rebecca Harris</w:t>
            </w:r>
          </w:p>
        </w:tc>
        <w:tc>
          <w:tcPr>
            <w:tcW w:w="6379" w:type="dxa"/>
            <w:vAlign w:val="center"/>
          </w:tcPr>
          <w:p w14:paraId="3CC2C3DB" w14:textId="32F98AA8" w:rsidR="00E00833" w:rsidRPr="005F24FF" w:rsidRDefault="00287D96" w:rsidP="00F917BF">
            <w:r>
              <w:t>Welcome</w:t>
            </w:r>
          </w:p>
        </w:tc>
      </w:tr>
      <w:tr w:rsidR="000549B9" w14:paraId="674E9668" w14:textId="77777777" w:rsidTr="00F917BF">
        <w:tc>
          <w:tcPr>
            <w:tcW w:w="1238" w:type="dxa"/>
            <w:vAlign w:val="center"/>
          </w:tcPr>
          <w:p w14:paraId="710BFC83" w14:textId="2047B5AA" w:rsidR="000549B9" w:rsidRDefault="000549B9" w:rsidP="00F917BF">
            <w:r>
              <w:t>10</w:t>
            </w:r>
            <w:r w:rsidR="00AE662C">
              <w:t>40</w:t>
            </w:r>
          </w:p>
        </w:tc>
        <w:tc>
          <w:tcPr>
            <w:tcW w:w="1881" w:type="dxa"/>
            <w:vAlign w:val="center"/>
          </w:tcPr>
          <w:p w14:paraId="73E310DE" w14:textId="51CA5233" w:rsidR="000549B9" w:rsidRDefault="000549B9" w:rsidP="00F917BF">
            <w:r>
              <w:t>Anna Burke</w:t>
            </w:r>
          </w:p>
        </w:tc>
        <w:tc>
          <w:tcPr>
            <w:tcW w:w="6379" w:type="dxa"/>
            <w:vAlign w:val="center"/>
          </w:tcPr>
          <w:p w14:paraId="690B0869" w14:textId="41180AA6" w:rsidR="000549B9" w:rsidRDefault="000549B9" w:rsidP="00F917BF">
            <w:r>
              <w:t>E</w:t>
            </w:r>
            <w:r w:rsidRPr="005F24FF">
              <w:t>xplore and develop an understanding of the perceptions and experiences of pupils and teachers regarding disruptive behaviour in English secondary schools</w:t>
            </w:r>
          </w:p>
        </w:tc>
      </w:tr>
      <w:tr w:rsidR="005E7463" w14:paraId="16F8740A" w14:textId="1E5E70C8" w:rsidTr="00F917BF">
        <w:tc>
          <w:tcPr>
            <w:tcW w:w="1238" w:type="dxa"/>
            <w:vAlign w:val="center"/>
          </w:tcPr>
          <w:p w14:paraId="4648CBD9" w14:textId="50113396" w:rsidR="005E7463" w:rsidRDefault="00E00833" w:rsidP="00F917BF">
            <w:r>
              <w:t>11</w:t>
            </w:r>
            <w:r w:rsidR="00F02169">
              <w:t>00</w:t>
            </w:r>
          </w:p>
        </w:tc>
        <w:tc>
          <w:tcPr>
            <w:tcW w:w="1881" w:type="dxa"/>
            <w:vAlign w:val="center"/>
          </w:tcPr>
          <w:p w14:paraId="71C112BB" w14:textId="7321FB35" w:rsidR="005E7463" w:rsidRDefault="005E7463" w:rsidP="00F917BF">
            <w:r>
              <w:t>Helen Norris</w:t>
            </w:r>
          </w:p>
        </w:tc>
        <w:tc>
          <w:tcPr>
            <w:tcW w:w="6379" w:type="dxa"/>
            <w:vAlign w:val="center"/>
          </w:tcPr>
          <w:p w14:paraId="28196E31" w14:textId="02D1A878" w:rsidR="005E7463" w:rsidRDefault="005E7463" w:rsidP="00F917BF">
            <w:r w:rsidRPr="005F24FF">
              <w:t>The Emotional Input of Adolescent Fiction Reading: A 2.4-Million-Token Analysis of Linguistic Scaffolding</w:t>
            </w:r>
          </w:p>
        </w:tc>
      </w:tr>
      <w:tr w:rsidR="005E7463" w14:paraId="15B2E840" w14:textId="72A516DA" w:rsidTr="00F917BF">
        <w:tc>
          <w:tcPr>
            <w:tcW w:w="1238" w:type="dxa"/>
            <w:vAlign w:val="center"/>
          </w:tcPr>
          <w:p w14:paraId="548870E2" w14:textId="2D3064FB" w:rsidR="005E7463" w:rsidRDefault="00E00833" w:rsidP="00F917BF">
            <w:r>
              <w:t>11</w:t>
            </w:r>
            <w:r w:rsidR="00F02169">
              <w:t>20</w:t>
            </w:r>
          </w:p>
        </w:tc>
        <w:tc>
          <w:tcPr>
            <w:tcW w:w="1881" w:type="dxa"/>
            <w:vAlign w:val="center"/>
          </w:tcPr>
          <w:p w14:paraId="115F725C" w14:textId="6598BFEE" w:rsidR="005E7463" w:rsidRDefault="005E7463" w:rsidP="00F917BF">
            <w:r>
              <w:t>Deb Buttery</w:t>
            </w:r>
          </w:p>
        </w:tc>
        <w:tc>
          <w:tcPr>
            <w:tcW w:w="6379" w:type="dxa"/>
            <w:vAlign w:val="center"/>
          </w:tcPr>
          <w:p w14:paraId="426AAD38" w14:textId="0C33D6B3" w:rsidR="005E7463" w:rsidRDefault="005E7463" w:rsidP="00F917BF">
            <w:pPr>
              <w:spacing w:after="160" w:line="259" w:lineRule="auto"/>
            </w:pPr>
            <w:r>
              <w:t>T</w:t>
            </w:r>
            <w:r w:rsidRPr="005F24FF">
              <w:t>he impact of reading in French on children's levels of creativity, motivation, empathy and vocabulary.</w:t>
            </w:r>
          </w:p>
        </w:tc>
      </w:tr>
      <w:tr w:rsidR="001156AE" w14:paraId="4BE79A48" w14:textId="77777777" w:rsidTr="00F917BF">
        <w:tc>
          <w:tcPr>
            <w:tcW w:w="1238" w:type="dxa"/>
            <w:vAlign w:val="center"/>
          </w:tcPr>
          <w:p w14:paraId="5386119A" w14:textId="2D3A3DC6" w:rsidR="001156AE" w:rsidRDefault="00E00833" w:rsidP="00F917BF">
            <w:r>
              <w:t>1</w:t>
            </w:r>
            <w:r w:rsidR="00F02169">
              <w:t>140</w:t>
            </w:r>
          </w:p>
        </w:tc>
        <w:tc>
          <w:tcPr>
            <w:tcW w:w="1881" w:type="dxa"/>
            <w:vAlign w:val="center"/>
          </w:tcPr>
          <w:p w14:paraId="595E17A3" w14:textId="71888D82" w:rsidR="001156AE" w:rsidRDefault="001156AE" w:rsidP="00F917BF">
            <w:r>
              <w:t>Mark Aitchison</w:t>
            </w:r>
          </w:p>
        </w:tc>
        <w:tc>
          <w:tcPr>
            <w:tcW w:w="6379" w:type="dxa"/>
            <w:vAlign w:val="center"/>
          </w:tcPr>
          <w:p w14:paraId="09BDA820" w14:textId="235BFDFF" w:rsidR="001156AE" w:rsidRDefault="00FA03EA" w:rsidP="00F917BF">
            <w:r w:rsidRPr="00FA03EA">
              <w:t>“Pedagogy, Participation and Musical Identity: Exploring the Relationship Between Teacher Practice and Learner Experience in Key Stage 3 Music (ages 11-14) in England.</w:t>
            </w:r>
          </w:p>
        </w:tc>
      </w:tr>
      <w:tr w:rsidR="003605F5" w14:paraId="59FF11BE" w14:textId="11841949" w:rsidTr="00F917BF">
        <w:tc>
          <w:tcPr>
            <w:tcW w:w="1238" w:type="dxa"/>
            <w:shd w:val="clear" w:color="auto" w:fill="D9F2D0" w:themeFill="accent6" w:themeFillTint="33"/>
            <w:vAlign w:val="center"/>
          </w:tcPr>
          <w:p w14:paraId="0B8494E7" w14:textId="7BFB1CCD" w:rsidR="003605F5" w:rsidRDefault="00636CBF" w:rsidP="00F917BF">
            <w:r>
              <w:t>12</w:t>
            </w:r>
            <w:r w:rsidR="00F02169">
              <w:t>00</w:t>
            </w:r>
          </w:p>
        </w:tc>
        <w:tc>
          <w:tcPr>
            <w:tcW w:w="1881" w:type="dxa"/>
            <w:shd w:val="clear" w:color="auto" w:fill="D9F2D0" w:themeFill="accent6" w:themeFillTint="33"/>
            <w:vAlign w:val="center"/>
          </w:tcPr>
          <w:p w14:paraId="7851177D" w14:textId="629E38F2" w:rsidR="003605F5" w:rsidRDefault="003605F5" w:rsidP="00F917BF">
            <w:r>
              <w:t>Lunch break</w:t>
            </w:r>
          </w:p>
        </w:tc>
        <w:tc>
          <w:tcPr>
            <w:tcW w:w="6379" w:type="dxa"/>
            <w:shd w:val="clear" w:color="auto" w:fill="D9F2D0" w:themeFill="accent6" w:themeFillTint="33"/>
            <w:vAlign w:val="center"/>
          </w:tcPr>
          <w:p w14:paraId="13CAB421" w14:textId="28E9F891" w:rsidR="003605F5" w:rsidRDefault="003605F5" w:rsidP="00F917BF">
            <w:r>
              <w:t>Poster Presentations</w:t>
            </w:r>
          </w:p>
        </w:tc>
      </w:tr>
      <w:tr w:rsidR="003605F5" w14:paraId="6766CB44" w14:textId="626D08B7" w:rsidTr="00F917BF">
        <w:tc>
          <w:tcPr>
            <w:tcW w:w="1238" w:type="dxa"/>
            <w:vAlign w:val="center"/>
          </w:tcPr>
          <w:p w14:paraId="29587F44" w14:textId="6DC2B7B2" w:rsidR="003605F5" w:rsidRDefault="00636CBF" w:rsidP="00F917BF">
            <w:r>
              <w:t>1</w:t>
            </w:r>
            <w:r w:rsidR="00B60639">
              <w:t>245</w:t>
            </w:r>
          </w:p>
        </w:tc>
        <w:tc>
          <w:tcPr>
            <w:tcW w:w="1881" w:type="dxa"/>
            <w:vAlign w:val="center"/>
          </w:tcPr>
          <w:p w14:paraId="2C39B43A" w14:textId="77777777" w:rsidR="00287D96" w:rsidRDefault="003605F5" w:rsidP="00F917BF">
            <w:r>
              <w:t>Roseminia Munjee</w:t>
            </w:r>
          </w:p>
          <w:p w14:paraId="431713FE" w14:textId="3CC3DE93" w:rsidR="003605F5" w:rsidRDefault="003605F5" w:rsidP="00F917BF">
            <w:r>
              <w:t>(online)</w:t>
            </w:r>
          </w:p>
        </w:tc>
        <w:tc>
          <w:tcPr>
            <w:tcW w:w="6379" w:type="dxa"/>
            <w:vAlign w:val="center"/>
          </w:tcPr>
          <w:p w14:paraId="0BF42D33" w14:textId="09A11C76" w:rsidR="003605F5" w:rsidRDefault="003605F5" w:rsidP="00F917BF">
            <w:pPr>
              <w:spacing w:after="160" w:line="259" w:lineRule="auto"/>
            </w:pPr>
            <w:r w:rsidRPr="005F24FF">
              <w:t>Mindfulness and compassion practices to address racism: an anti -oppression framework for adult education</w:t>
            </w:r>
          </w:p>
        </w:tc>
      </w:tr>
      <w:tr w:rsidR="003605F5" w14:paraId="6614488F" w14:textId="77777777" w:rsidTr="00F917BF">
        <w:tc>
          <w:tcPr>
            <w:tcW w:w="1238" w:type="dxa"/>
            <w:vAlign w:val="center"/>
          </w:tcPr>
          <w:p w14:paraId="24EB8C17" w14:textId="5E6B5739" w:rsidR="003605F5" w:rsidRDefault="00B60639" w:rsidP="00F917BF">
            <w:r>
              <w:t>1305</w:t>
            </w:r>
          </w:p>
        </w:tc>
        <w:tc>
          <w:tcPr>
            <w:tcW w:w="1881" w:type="dxa"/>
            <w:vAlign w:val="center"/>
          </w:tcPr>
          <w:p w14:paraId="7B6A1FB9" w14:textId="1C7A7D69" w:rsidR="003605F5" w:rsidRDefault="003605F5" w:rsidP="00F917BF">
            <w:r>
              <w:t>Meggie Copsey-Blake</w:t>
            </w:r>
          </w:p>
        </w:tc>
        <w:tc>
          <w:tcPr>
            <w:tcW w:w="6379" w:type="dxa"/>
            <w:vAlign w:val="center"/>
          </w:tcPr>
          <w:p w14:paraId="31500673" w14:textId="04370DD0" w:rsidR="003605F5" w:rsidRPr="005F24FF" w:rsidRDefault="003605F5" w:rsidP="00F917BF">
            <w:pPr>
              <w:spacing w:after="160" w:line="259" w:lineRule="auto"/>
            </w:pPr>
            <w:r w:rsidRPr="005F24FF">
              <w:t>Standard language ideologies in UK higher education: Understanding the perceptions and experiences of university students’</w:t>
            </w:r>
          </w:p>
        </w:tc>
      </w:tr>
      <w:tr w:rsidR="00AE662C" w14:paraId="28FC637A" w14:textId="77777777" w:rsidTr="00F917BF">
        <w:tc>
          <w:tcPr>
            <w:tcW w:w="1238" w:type="dxa"/>
            <w:vAlign w:val="center"/>
          </w:tcPr>
          <w:p w14:paraId="43291201" w14:textId="75B2261D" w:rsidR="00AE662C" w:rsidRDefault="00AE662C" w:rsidP="00AE662C">
            <w:r>
              <w:t>1325</w:t>
            </w:r>
          </w:p>
        </w:tc>
        <w:tc>
          <w:tcPr>
            <w:tcW w:w="1881" w:type="dxa"/>
            <w:vAlign w:val="center"/>
          </w:tcPr>
          <w:p w14:paraId="19A4772C" w14:textId="7CFE05A6" w:rsidR="00AE662C" w:rsidRDefault="00AE662C" w:rsidP="00AE662C">
            <w:r>
              <w:t>Ching Chan</w:t>
            </w:r>
          </w:p>
        </w:tc>
        <w:tc>
          <w:tcPr>
            <w:tcW w:w="6379" w:type="dxa"/>
            <w:vAlign w:val="center"/>
          </w:tcPr>
          <w:p w14:paraId="557C9F69" w14:textId="382BB4BB" w:rsidR="00AE662C" w:rsidRPr="005F24FF" w:rsidRDefault="00AE662C" w:rsidP="00AE662C">
            <w:r w:rsidRPr="005F24FF">
              <w:t>Enabling Inclusive Practice: How Contextual Factors Shape Teachers’ Capacity to Act in Early Childhood Education in Hong Kong</w:t>
            </w:r>
          </w:p>
        </w:tc>
      </w:tr>
      <w:tr w:rsidR="00AE662C" w14:paraId="4E6149F6" w14:textId="77777777" w:rsidTr="00F917BF">
        <w:tc>
          <w:tcPr>
            <w:tcW w:w="1238" w:type="dxa"/>
            <w:vAlign w:val="center"/>
          </w:tcPr>
          <w:p w14:paraId="42FE6BA1" w14:textId="672537B2" w:rsidR="00AE662C" w:rsidRDefault="00AE662C" w:rsidP="00AE662C">
            <w:r>
              <w:t>1345</w:t>
            </w:r>
          </w:p>
        </w:tc>
        <w:tc>
          <w:tcPr>
            <w:tcW w:w="1881" w:type="dxa"/>
            <w:vAlign w:val="center"/>
          </w:tcPr>
          <w:p w14:paraId="3573D103" w14:textId="6C8F258A" w:rsidR="00AE662C" w:rsidRDefault="00AE662C" w:rsidP="00AE662C">
            <w:r>
              <w:t xml:space="preserve">Dr Rebecca Berkley </w:t>
            </w:r>
          </w:p>
        </w:tc>
        <w:tc>
          <w:tcPr>
            <w:tcW w:w="6379" w:type="dxa"/>
            <w:vAlign w:val="center"/>
          </w:tcPr>
          <w:p w14:paraId="37262B8B" w14:textId="7F945C62" w:rsidR="00AE662C" w:rsidRPr="005F24FF" w:rsidRDefault="00AE662C" w:rsidP="00AE662C">
            <w:r w:rsidRPr="00556ADD">
              <w:t>Academic citizenship is the collective contribution researchers make to the scholarly community beyond their individual projects. This presentation explores its value for PGR students, highlighting how activities such as peer support, reviewing, mentoring, collaboration, and service strengthen research culture, enhance professional development, and foster a more inclusive, resilient academic environment.</w:t>
            </w:r>
          </w:p>
        </w:tc>
      </w:tr>
      <w:tr w:rsidR="00AE662C" w14:paraId="1EC765AD" w14:textId="77777777" w:rsidTr="00F917BF">
        <w:tc>
          <w:tcPr>
            <w:tcW w:w="1238" w:type="dxa"/>
            <w:vAlign w:val="center"/>
          </w:tcPr>
          <w:p w14:paraId="7844C2F7" w14:textId="0FB5E8BB" w:rsidR="00AE662C" w:rsidRDefault="00AE662C" w:rsidP="00AE662C">
            <w:r>
              <w:t>1405</w:t>
            </w:r>
          </w:p>
        </w:tc>
        <w:tc>
          <w:tcPr>
            <w:tcW w:w="1881" w:type="dxa"/>
            <w:vAlign w:val="center"/>
          </w:tcPr>
          <w:p w14:paraId="00F87219" w14:textId="6528C00A" w:rsidR="00AE662C" w:rsidRDefault="00AE662C" w:rsidP="00AE662C">
            <w:r>
              <w:t>Zhenjie Qin, Mark Aitchison &amp; Dr Rebecca Harris</w:t>
            </w:r>
          </w:p>
        </w:tc>
        <w:tc>
          <w:tcPr>
            <w:tcW w:w="6379" w:type="dxa"/>
            <w:vAlign w:val="center"/>
          </w:tcPr>
          <w:p w14:paraId="563DE001" w14:textId="2751E30C" w:rsidR="00AE662C" w:rsidRPr="00556ADD" w:rsidRDefault="00AE662C" w:rsidP="00AE662C">
            <w:r>
              <w:t>Closing thanks</w:t>
            </w:r>
          </w:p>
        </w:tc>
      </w:tr>
    </w:tbl>
    <w:p w14:paraId="2CAB883E" w14:textId="77777777" w:rsidR="005E7463" w:rsidRDefault="005E7463"/>
    <w:sectPr w:rsidR="005E74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4FF"/>
    <w:rsid w:val="000549B9"/>
    <w:rsid w:val="0007011E"/>
    <w:rsid w:val="001156AE"/>
    <w:rsid w:val="002133B0"/>
    <w:rsid w:val="00234E1D"/>
    <w:rsid w:val="00286677"/>
    <w:rsid w:val="00287D96"/>
    <w:rsid w:val="003423D2"/>
    <w:rsid w:val="003605F5"/>
    <w:rsid w:val="003A4C65"/>
    <w:rsid w:val="0041747B"/>
    <w:rsid w:val="00556ADD"/>
    <w:rsid w:val="005E7463"/>
    <w:rsid w:val="005F24FF"/>
    <w:rsid w:val="00636CBF"/>
    <w:rsid w:val="006A3EC0"/>
    <w:rsid w:val="00707F34"/>
    <w:rsid w:val="00821E67"/>
    <w:rsid w:val="00857902"/>
    <w:rsid w:val="008F59D0"/>
    <w:rsid w:val="00AE662C"/>
    <w:rsid w:val="00B60639"/>
    <w:rsid w:val="00BD3204"/>
    <w:rsid w:val="00C42CC9"/>
    <w:rsid w:val="00C52C77"/>
    <w:rsid w:val="00E00833"/>
    <w:rsid w:val="00EC0A3F"/>
    <w:rsid w:val="00F02169"/>
    <w:rsid w:val="00F36BC8"/>
    <w:rsid w:val="00F84D98"/>
    <w:rsid w:val="00F917BF"/>
    <w:rsid w:val="00FA03E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65CD2"/>
  <w15:chartTrackingRefBased/>
  <w15:docId w15:val="{EAFCC916-4FF1-4F79-AEB2-68AB9ECDB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24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24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24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24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24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24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24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24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24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24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24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24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24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24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24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24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24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24FF"/>
    <w:rPr>
      <w:rFonts w:eastAsiaTheme="majorEastAsia" w:cstheme="majorBidi"/>
      <w:color w:val="272727" w:themeColor="text1" w:themeTint="D8"/>
    </w:rPr>
  </w:style>
  <w:style w:type="paragraph" w:styleId="Title">
    <w:name w:val="Title"/>
    <w:basedOn w:val="Normal"/>
    <w:next w:val="Normal"/>
    <w:link w:val="TitleChar"/>
    <w:uiPriority w:val="10"/>
    <w:qFormat/>
    <w:rsid w:val="005F24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24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24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24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24FF"/>
    <w:pPr>
      <w:spacing w:before="160"/>
      <w:jc w:val="center"/>
    </w:pPr>
    <w:rPr>
      <w:i/>
      <w:iCs/>
      <w:color w:val="404040" w:themeColor="text1" w:themeTint="BF"/>
    </w:rPr>
  </w:style>
  <w:style w:type="character" w:customStyle="1" w:styleId="QuoteChar">
    <w:name w:val="Quote Char"/>
    <w:basedOn w:val="DefaultParagraphFont"/>
    <w:link w:val="Quote"/>
    <w:uiPriority w:val="29"/>
    <w:rsid w:val="005F24FF"/>
    <w:rPr>
      <w:i/>
      <w:iCs/>
      <w:color w:val="404040" w:themeColor="text1" w:themeTint="BF"/>
    </w:rPr>
  </w:style>
  <w:style w:type="paragraph" w:styleId="ListParagraph">
    <w:name w:val="List Paragraph"/>
    <w:basedOn w:val="Normal"/>
    <w:uiPriority w:val="34"/>
    <w:qFormat/>
    <w:rsid w:val="005F24FF"/>
    <w:pPr>
      <w:ind w:left="720"/>
      <w:contextualSpacing/>
    </w:pPr>
  </w:style>
  <w:style w:type="character" w:styleId="IntenseEmphasis">
    <w:name w:val="Intense Emphasis"/>
    <w:basedOn w:val="DefaultParagraphFont"/>
    <w:uiPriority w:val="21"/>
    <w:qFormat/>
    <w:rsid w:val="005F24FF"/>
    <w:rPr>
      <w:i/>
      <w:iCs/>
      <w:color w:val="0F4761" w:themeColor="accent1" w:themeShade="BF"/>
    </w:rPr>
  </w:style>
  <w:style w:type="paragraph" w:styleId="IntenseQuote">
    <w:name w:val="Intense Quote"/>
    <w:basedOn w:val="Normal"/>
    <w:next w:val="Normal"/>
    <w:link w:val="IntenseQuoteChar"/>
    <w:uiPriority w:val="30"/>
    <w:qFormat/>
    <w:rsid w:val="005F24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24FF"/>
    <w:rPr>
      <w:i/>
      <w:iCs/>
      <w:color w:val="0F4761" w:themeColor="accent1" w:themeShade="BF"/>
    </w:rPr>
  </w:style>
  <w:style w:type="character" w:styleId="IntenseReference">
    <w:name w:val="Intense Reference"/>
    <w:basedOn w:val="DefaultParagraphFont"/>
    <w:uiPriority w:val="32"/>
    <w:qFormat/>
    <w:rsid w:val="005F24FF"/>
    <w:rPr>
      <w:b/>
      <w:bCs/>
      <w:smallCaps/>
      <w:color w:val="0F4761" w:themeColor="accent1" w:themeShade="BF"/>
      <w:spacing w:val="5"/>
    </w:rPr>
  </w:style>
  <w:style w:type="table" w:styleId="TableGrid">
    <w:name w:val="Table Grid"/>
    <w:basedOn w:val="TableNormal"/>
    <w:uiPriority w:val="39"/>
    <w:rsid w:val="005E74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327</Words>
  <Characters>1865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Aitchison</dc:creator>
  <cp:keywords/>
  <dc:description/>
  <cp:lastModifiedBy>Mark Aitchison</cp:lastModifiedBy>
  <cp:revision>21</cp:revision>
  <dcterms:created xsi:type="dcterms:W3CDTF">2026-05-22T11:15:00Z</dcterms:created>
  <dcterms:modified xsi:type="dcterms:W3CDTF">2026-06-18T10:54:00Z</dcterms:modified>
</cp:coreProperties>
</file>